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00FE" w14:textId="77777777" w:rsidR="00D017F9" w:rsidRDefault="000E21FA">
      <w:pPr>
        <w:pStyle w:val="Title"/>
      </w:pPr>
      <w:r>
        <w:t>Sehnsucht: The C. S. Lewis Journal</w:t>
      </w:r>
    </w:p>
    <w:p w14:paraId="7BEFD3C8" w14:textId="77777777" w:rsidR="00D017F9" w:rsidRDefault="000E21FA">
      <w:pPr>
        <w:pStyle w:val="Heading1"/>
      </w:pPr>
      <w:r>
        <w:t xml:space="preserve"> Style Guide </w:t>
      </w:r>
    </w:p>
    <w:p w14:paraId="3A9C92BF" w14:textId="77777777" w:rsidR="00D017F9" w:rsidRDefault="00D017F9">
      <w:pPr>
        <w:rPr>
          <w:bCs/>
          <w:i/>
          <w:iCs/>
          <w:szCs w:val="16"/>
        </w:rPr>
      </w:pPr>
    </w:p>
    <w:p w14:paraId="23B6833A" w14:textId="77777777" w:rsidR="00D017F9" w:rsidRDefault="000E21FA" w:rsidP="00DE2E65">
      <w:pPr>
        <w:rPr>
          <w:szCs w:val="20"/>
        </w:rPr>
      </w:pPr>
      <w:r>
        <w:rPr>
          <w:b/>
        </w:rPr>
        <w:t>Introduction</w:t>
      </w:r>
      <w:r>
        <w:t>.</w:t>
      </w:r>
      <w:r>
        <w:rPr>
          <w:szCs w:val="20"/>
        </w:rPr>
        <w:t xml:space="preserve"> Questions regarding stylistic issues should be addressed to the General Editor (</w:t>
      </w:r>
      <w:r w:rsidR="00AD48AE" w:rsidRPr="00385632">
        <w:rPr>
          <w:szCs w:val="20"/>
        </w:rPr>
        <w:t>bruce@scottsdalechurch.com</w:t>
      </w:r>
      <w:r w:rsidR="00AD48AE">
        <w:rPr>
          <w:szCs w:val="20"/>
        </w:rPr>
        <w:t>)</w:t>
      </w:r>
      <w:r>
        <w:rPr>
          <w:szCs w:val="20"/>
        </w:rPr>
        <w:t xml:space="preserve"> </w:t>
      </w:r>
      <w:r w:rsidR="00FE387E">
        <w:rPr>
          <w:szCs w:val="20"/>
        </w:rPr>
        <w:t>or to the Review Editor (</w:t>
      </w:r>
      <w:r w:rsidR="00385632" w:rsidRPr="00385632">
        <w:t>thatlewislady@gmail.com</w:t>
      </w:r>
      <w:r w:rsidR="00FE387E">
        <w:rPr>
          <w:rStyle w:val="go"/>
        </w:rPr>
        <w:t xml:space="preserve">) </w:t>
      </w:r>
      <w:r>
        <w:rPr>
          <w:szCs w:val="20"/>
        </w:rPr>
        <w:t>as</w:t>
      </w:r>
      <w:r w:rsidR="00FE387E">
        <w:rPr>
          <w:szCs w:val="20"/>
        </w:rPr>
        <w:t xml:space="preserve"> </w:t>
      </w:r>
      <w:r>
        <w:rPr>
          <w:szCs w:val="20"/>
        </w:rPr>
        <w:t>early in the writing/submission process as possible.</w:t>
      </w:r>
    </w:p>
    <w:p w14:paraId="2BD519BE" w14:textId="77777777" w:rsidR="00D017F9" w:rsidRDefault="00D017F9">
      <w:pPr>
        <w:ind w:left="-360"/>
        <w:rPr>
          <w:szCs w:val="20"/>
        </w:rPr>
      </w:pPr>
    </w:p>
    <w:p w14:paraId="2949676A" w14:textId="77777777" w:rsidR="00D017F9" w:rsidRDefault="000E21FA">
      <w:pPr>
        <w:pStyle w:val="Heading2"/>
      </w:pPr>
      <w:r>
        <w:t xml:space="preserve"> </w:t>
      </w:r>
      <w:r>
        <w:tab/>
        <w:t xml:space="preserve">General </w:t>
      </w:r>
      <w:r w:rsidR="00D53F67">
        <w:t>Instructions</w:t>
      </w:r>
    </w:p>
    <w:p w14:paraId="00111BBD" w14:textId="77777777" w:rsidR="00D017F9" w:rsidRDefault="009B41E7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Use 12-</w:t>
      </w:r>
      <w:r w:rsidR="000E21FA">
        <w:rPr>
          <w:szCs w:val="20"/>
        </w:rPr>
        <w:t xml:space="preserve">point type, double spaced. </w:t>
      </w:r>
    </w:p>
    <w:p w14:paraId="2B61C70D" w14:textId="35EE3963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Use Times New Roman font throughout (</w:t>
      </w:r>
      <w:r w:rsidR="00D53F67">
        <w:rPr>
          <w:szCs w:val="20"/>
        </w:rPr>
        <w:t>except for quotations from material</w:t>
      </w:r>
      <w:r>
        <w:rPr>
          <w:szCs w:val="20"/>
        </w:rPr>
        <w:t xml:space="preserve"> originally written in non-Latin script). </w:t>
      </w:r>
      <w:r w:rsidR="009F7A1E">
        <w:rPr>
          <w:szCs w:val="20"/>
        </w:rPr>
        <w:t>Use as little formatting as possible (only italics and capitalizations where appropriate).</w:t>
      </w:r>
    </w:p>
    <w:p w14:paraId="611E09B3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Use letter (or A4 for UK submissions) format with 1-inch margins.  </w:t>
      </w:r>
    </w:p>
    <w:p w14:paraId="5867068C" w14:textId="77777777" w:rsidR="00187589" w:rsidRDefault="00187589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When writing Lewis’</w:t>
      </w:r>
      <w:r w:rsidR="00B3306F">
        <w:rPr>
          <w:szCs w:val="20"/>
        </w:rPr>
        <w:t>s</w:t>
      </w:r>
      <w:r>
        <w:rPr>
          <w:szCs w:val="20"/>
        </w:rPr>
        <w:t xml:space="preserve"> full name, insert a space between initials (thus, C. S. Lewis)</w:t>
      </w:r>
      <w:r w:rsidR="00676150">
        <w:rPr>
          <w:szCs w:val="20"/>
        </w:rPr>
        <w:t xml:space="preserve">. Employ the same form </w:t>
      </w:r>
      <w:r w:rsidR="00D45A32">
        <w:rPr>
          <w:szCs w:val="20"/>
        </w:rPr>
        <w:t>in similar cases</w:t>
      </w:r>
      <w:r w:rsidR="00676150">
        <w:rPr>
          <w:szCs w:val="20"/>
        </w:rPr>
        <w:t xml:space="preserve">. </w:t>
      </w:r>
    </w:p>
    <w:p w14:paraId="0372FFA1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Avoid the use of first person singular (except where it appears in quotations)</w:t>
      </w:r>
      <w:r w:rsidR="00A4072D">
        <w:rPr>
          <w:szCs w:val="20"/>
        </w:rPr>
        <w:t xml:space="preserve"> whenever possible</w:t>
      </w:r>
      <w:r>
        <w:rPr>
          <w:szCs w:val="20"/>
        </w:rPr>
        <w:t>.</w:t>
      </w:r>
    </w:p>
    <w:p w14:paraId="6DC58400" w14:textId="32C6D280" w:rsidR="00D017F9" w:rsidRDefault="00A4072D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Place a</w:t>
      </w:r>
      <w:r w:rsidR="000E21FA">
        <w:rPr>
          <w:szCs w:val="20"/>
        </w:rPr>
        <w:t>ll tables at the end of the document</w:t>
      </w:r>
      <w:r>
        <w:rPr>
          <w:szCs w:val="20"/>
        </w:rPr>
        <w:t xml:space="preserve">, unless their insertion </w:t>
      </w:r>
      <w:r w:rsidR="0077154D">
        <w:rPr>
          <w:szCs w:val="20"/>
        </w:rPr>
        <w:t xml:space="preserve">at an earlier location </w:t>
      </w:r>
      <w:r>
        <w:rPr>
          <w:szCs w:val="20"/>
        </w:rPr>
        <w:t xml:space="preserve">is </w:t>
      </w:r>
      <w:r w:rsidR="00D45A32">
        <w:rPr>
          <w:szCs w:val="20"/>
        </w:rPr>
        <w:t xml:space="preserve">regarded as </w:t>
      </w:r>
      <w:r>
        <w:rPr>
          <w:szCs w:val="20"/>
        </w:rPr>
        <w:t xml:space="preserve">essential.  </w:t>
      </w:r>
      <w:r w:rsidR="000E21FA">
        <w:rPr>
          <w:szCs w:val="20"/>
        </w:rPr>
        <w:t xml:space="preserve"> </w:t>
      </w:r>
    </w:p>
    <w:p w14:paraId="4D65DCE6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Foreign words are to appear in italics. </w:t>
      </w:r>
    </w:p>
    <w:p w14:paraId="57D848C8" w14:textId="77777777" w:rsidR="006F383B" w:rsidRDefault="006F383B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Titles of books are to appear in italics; titles of books within titles are to be underlined.</w:t>
      </w:r>
    </w:p>
    <w:p w14:paraId="1F6D09B5" w14:textId="4044BF9B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Page numbers to be placed at </w:t>
      </w:r>
      <w:r w:rsidR="00A97396">
        <w:rPr>
          <w:szCs w:val="20"/>
        </w:rPr>
        <w:t xml:space="preserve">the </w:t>
      </w:r>
      <w:r>
        <w:rPr>
          <w:szCs w:val="20"/>
        </w:rPr>
        <w:t xml:space="preserve">top of </w:t>
      </w:r>
      <w:r w:rsidR="00A97396">
        <w:rPr>
          <w:szCs w:val="20"/>
        </w:rPr>
        <w:t xml:space="preserve">the </w:t>
      </w:r>
      <w:r>
        <w:rPr>
          <w:szCs w:val="20"/>
        </w:rPr>
        <w:t xml:space="preserve">page, center (in the header). Omit the page number on the first page. </w:t>
      </w:r>
    </w:p>
    <w:p w14:paraId="351A318E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Use American spellings, except in quotations where the original spellings should be preserved. </w:t>
      </w:r>
    </w:p>
    <w:p w14:paraId="48EBF565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Ellips</w:t>
      </w:r>
      <w:r w:rsidR="003E6A5B">
        <w:rPr>
          <w:szCs w:val="20"/>
        </w:rPr>
        <w:t>i</w:t>
      </w:r>
      <w:r>
        <w:rPr>
          <w:szCs w:val="20"/>
        </w:rPr>
        <w:t xml:space="preserve">s should be used to indicate all omissions in quotations.  </w:t>
      </w:r>
    </w:p>
    <w:p w14:paraId="1F31F13F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To emphasize a word or term, use italics font, not bold. </w:t>
      </w:r>
    </w:p>
    <w:p w14:paraId="5A00B149" w14:textId="77777777" w:rsidR="00D017F9" w:rsidRDefault="000E21F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Standardize all dates as follows: </w:t>
      </w:r>
    </w:p>
    <w:p w14:paraId="679E2E96" w14:textId="77777777" w:rsidR="00D017F9" w:rsidRDefault="000E21FA">
      <w:pPr>
        <w:numPr>
          <w:ilvl w:val="1"/>
          <w:numId w:val="1"/>
        </w:numPr>
        <w:ind w:left="720"/>
        <w:rPr>
          <w:szCs w:val="20"/>
        </w:rPr>
      </w:pPr>
      <w:r>
        <w:rPr>
          <w:szCs w:val="20"/>
        </w:rPr>
        <w:t>3 May 1993 (not May 3, 1993)</w:t>
      </w:r>
    </w:p>
    <w:p w14:paraId="3A6E0E01" w14:textId="77777777" w:rsidR="00D017F9" w:rsidRDefault="000E21FA">
      <w:pPr>
        <w:numPr>
          <w:ilvl w:val="1"/>
          <w:numId w:val="1"/>
        </w:numPr>
        <w:ind w:left="720"/>
        <w:rPr>
          <w:szCs w:val="20"/>
        </w:rPr>
      </w:pPr>
      <w:r>
        <w:rPr>
          <w:szCs w:val="20"/>
        </w:rPr>
        <w:t>1992-3 (not 1992-93).</w:t>
      </w:r>
    </w:p>
    <w:p w14:paraId="2B1C0A37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14</w:t>
      </w:r>
      <w:r w:rsidR="000E21FA">
        <w:rPr>
          <w:szCs w:val="20"/>
        </w:rPr>
        <w:t xml:space="preserve">. Numbering: </w:t>
      </w:r>
    </w:p>
    <w:p w14:paraId="6DC0AF41" w14:textId="77777777" w:rsidR="00D017F9" w:rsidRDefault="000E21FA">
      <w:pPr>
        <w:numPr>
          <w:ilvl w:val="1"/>
          <w:numId w:val="2"/>
        </w:numPr>
        <w:ind w:left="720"/>
        <w:rPr>
          <w:szCs w:val="20"/>
        </w:rPr>
      </w:pPr>
      <w:r>
        <w:rPr>
          <w:szCs w:val="20"/>
        </w:rPr>
        <w:t>Use Arabic (not Roman) numerals throughout (including biblical references)</w:t>
      </w:r>
    </w:p>
    <w:p w14:paraId="14103133" w14:textId="77777777" w:rsidR="00D017F9" w:rsidRDefault="000E21FA">
      <w:pPr>
        <w:numPr>
          <w:ilvl w:val="1"/>
          <w:numId w:val="2"/>
        </w:numPr>
        <w:ind w:left="720"/>
        <w:rPr>
          <w:szCs w:val="20"/>
        </w:rPr>
      </w:pPr>
      <w:r>
        <w:rPr>
          <w:szCs w:val="20"/>
        </w:rPr>
        <w:t>Write out numbers in the text, except when referring to page numbers or dates (“sixteen were in attendance”).</w:t>
      </w:r>
    </w:p>
    <w:p w14:paraId="4C3C2A3F" w14:textId="77777777" w:rsidR="00D017F9" w:rsidRDefault="000E21FA">
      <w:pPr>
        <w:numPr>
          <w:ilvl w:val="1"/>
          <w:numId w:val="2"/>
        </w:numPr>
        <w:ind w:left="720"/>
        <w:rPr>
          <w:szCs w:val="20"/>
        </w:rPr>
      </w:pPr>
      <w:r>
        <w:rPr>
          <w:szCs w:val="20"/>
        </w:rPr>
        <w:t>In footnotes, or when referring to page numbers, use 15-17 and 115-17 (for numbers in the teens).</w:t>
      </w:r>
    </w:p>
    <w:p w14:paraId="3B2D9FFC" w14:textId="77777777" w:rsidR="00D017F9" w:rsidRDefault="000E21FA">
      <w:pPr>
        <w:numPr>
          <w:ilvl w:val="1"/>
          <w:numId w:val="2"/>
        </w:numPr>
        <w:ind w:left="720"/>
        <w:rPr>
          <w:szCs w:val="20"/>
        </w:rPr>
      </w:pPr>
      <w:r>
        <w:rPr>
          <w:szCs w:val="20"/>
        </w:rPr>
        <w:t>However, for numbers in the twenties and beyond, use 21-3 (not 21-23) and 131-9 (not 131-39).</w:t>
      </w:r>
    </w:p>
    <w:p w14:paraId="605F4C01" w14:textId="77777777" w:rsidR="00D017F9" w:rsidRDefault="000E21FA">
      <w:pPr>
        <w:numPr>
          <w:ilvl w:val="1"/>
          <w:numId w:val="2"/>
        </w:numPr>
        <w:ind w:left="720"/>
        <w:rPr>
          <w:szCs w:val="20"/>
        </w:rPr>
      </w:pPr>
      <w:r>
        <w:rPr>
          <w:szCs w:val="20"/>
        </w:rPr>
        <w:t>Avoid “f” or “ff”; instead list the entire range of numbers being cited, 45-</w:t>
      </w:r>
      <w:r w:rsidR="00573AFC">
        <w:rPr>
          <w:szCs w:val="20"/>
        </w:rPr>
        <w:t>6</w:t>
      </w:r>
      <w:r>
        <w:rPr>
          <w:szCs w:val="20"/>
        </w:rPr>
        <w:t xml:space="preserve"> (not 45f) and 45-51 (not 45ff).</w:t>
      </w:r>
    </w:p>
    <w:p w14:paraId="42F3AAD0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15</w:t>
      </w:r>
      <w:r w:rsidR="000E21FA">
        <w:rPr>
          <w:szCs w:val="20"/>
        </w:rPr>
        <w:t xml:space="preserve">. </w:t>
      </w:r>
      <w:r w:rsidR="003977D6">
        <w:rPr>
          <w:szCs w:val="20"/>
        </w:rPr>
        <w:t>A</w:t>
      </w:r>
      <w:r w:rsidR="000E21FA">
        <w:rPr>
          <w:szCs w:val="20"/>
        </w:rPr>
        <w:t xml:space="preserve">void </w:t>
      </w:r>
      <w:r w:rsidR="003977D6">
        <w:rPr>
          <w:szCs w:val="20"/>
        </w:rPr>
        <w:t xml:space="preserve">use of the following </w:t>
      </w:r>
      <w:r w:rsidR="000E21FA">
        <w:rPr>
          <w:szCs w:val="20"/>
        </w:rPr>
        <w:t>abbreviations: “e.g.”, “i.e.”</w:t>
      </w:r>
      <w:r w:rsidR="003977D6">
        <w:rPr>
          <w:szCs w:val="20"/>
        </w:rPr>
        <w:t>,</w:t>
      </w:r>
      <w:r w:rsidR="000E21FA">
        <w:rPr>
          <w:szCs w:val="20"/>
        </w:rPr>
        <w:t xml:space="preserve"> “Cf.”</w:t>
      </w:r>
      <w:r w:rsidR="003977D6">
        <w:rPr>
          <w:szCs w:val="20"/>
        </w:rPr>
        <w:t>,</w:t>
      </w:r>
      <w:r w:rsidR="000E21FA">
        <w:rPr>
          <w:szCs w:val="20"/>
        </w:rPr>
        <w:t xml:space="preserve"> “Ibid.”</w:t>
      </w:r>
      <w:r w:rsidR="003977D6">
        <w:rPr>
          <w:szCs w:val="20"/>
        </w:rPr>
        <w:t>,</w:t>
      </w:r>
      <w:r w:rsidR="000E21FA">
        <w:rPr>
          <w:szCs w:val="20"/>
        </w:rPr>
        <w:t xml:space="preserve"> </w:t>
      </w:r>
      <w:r w:rsidR="003977D6">
        <w:rPr>
          <w:szCs w:val="20"/>
        </w:rPr>
        <w:t xml:space="preserve">“idem.” </w:t>
      </w:r>
      <w:r w:rsidR="00D146BF">
        <w:rPr>
          <w:szCs w:val="20"/>
        </w:rPr>
        <w:t>“</w:t>
      </w:r>
      <w:proofErr w:type="spellStart"/>
      <w:r w:rsidR="00D146BF" w:rsidRPr="00B213F6">
        <w:t>eidem</w:t>
      </w:r>
      <w:proofErr w:type="spellEnd"/>
      <w:r w:rsidR="00D146BF">
        <w:t xml:space="preserve">”, </w:t>
      </w:r>
      <w:r w:rsidR="00D53F67">
        <w:t>“et</w:t>
      </w:r>
      <w:r w:rsidR="009866DB">
        <w:t xml:space="preserve"> al</w:t>
      </w:r>
      <w:r w:rsidR="00D53F67">
        <w:t>.</w:t>
      </w:r>
      <w:r w:rsidR="009866DB">
        <w:t xml:space="preserve">”, </w:t>
      </w:r>
      <w:r w:rsidR="007475BE">
        <w:t xml:space="preserve">“intro”, </w:t>
      </w:r>
      <w:r w:rsidR="000E21FA">
        <w:rPr>
          <w:szCs w:val="20"/>
        </w:rPr>
        <w:t>“p.”</w:t>
      </w:r>
      <w:r w:rsidR="00DE440A">
        <w:rPr>
          <w:szCs w:val="20"/>
        </w:rPr>
        <w:t>,</w:t>
      </w:r>
      <w:r w:rsidR="000E21FA">
        <w:rPr>
          <w:szCs w:val="20"/>
        </w:rPr>
        <w:t xml:space="preserve"> “pp.”, “f.”, “ff.”, and “&amp;”. </w:t>
      </w:r>
    </w:p>
    <w:p w14:paraId="18ECCF59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16</w:t>
      </w:r>
      <w:r w:rsidR="000E21FA">
        <w:rPr>
          <w:szCs w:val="20"/>
        </w:rPr>
        <w:t xml:space="preserve">. Incorporate the following abbreviations (in footnotes only): </w:t>
      </w:r>
      <w:r w:rsidR="007C0729">
        <w:rPr>
          <w:szCs w:val="20"/>
        </w:rPr>
        <w:t xml:space="preserve">“MS”, </w:t>
      </w:r>
      <w:r w:rsidR="000E21FA">
        <w:rPr>
          <w:szCs w:val="20"/>
        </w:rPr>
        <w:t>“vol.”, “vols.”, “ed.”, “eds.”, “trans.”, “</w:t>
      </w:r>
      <w:r w:rsidR="000E21FA">
        <w:rPr>
          <w:color w:val="000000"/>
        </w:rPr>
        <w:t>§”</w:t>
      </w:r>
    </w:p>
    <w:p w14:paraId="4FDB3E61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17</w:t>
      </w:r>
      <w:r w:rsidR="000E21FA">
        <w:rPr>
          <w:szCs w:val="20"/>
        </w:rPr>
        <w:t xml:space="preserve">. For possessive form, use </w:t>
      </w:r>
      <w:r w:rsidR="00930BAE">
        <w:rPr>
          <w:szCs w:val="20"/>
        </w:rPr>
        <w:t>“Lewis’s”, not “Lewis’”</w:t>
      </w:r>
    </w:p>
    <w:p w14:paraId="28F50028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18</w:t>
      </w:r>
      <w:r w:rsidR="000E21FA">
        <w:rPr>
          <w:szCs w:val="20"/>
        </w:rPr>
        <w:t xml:space="preserve">. Insert a single space following a period (or full stop).  </w:t>
      </w:r>
    </w:p>
    <w:p w14:paraId="5A13CE1B" w14:textId="1A237C40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19</w:t>
      </w:r>
      <w:r w:rsidR="00D53F67">
        <w:rPr>
          <w:szCs w:val="20"/>
        </w:rPr>
        <w:t>. D</w:t>
      </w:r>
      <w:r w:rsidR="000E21FA">
        <w:rPr>
          <w:szCs w:val="20"/>
        </w:rPr>
        <w:t>o not insert a double</w:t>
      </w:r>
      <w:r w:rsidR="00FE387E">
        <w:rPr>
          <w:szCs w:val="20"/>
        </w:rPr>
        <w:t xml:space="preserve"> </w:t>
      </w:r>
      <w:r w:rsidR="000E21FA">
        <w:rPr>
          <w:szCs w:val="20"/>
        </w:rPr>
        <w:t xml:space="preserve">space between paragraphs; instead, indent the first line of each new paragraph five (5) spaces. </w:t>
      </w:r>
    </w:p>
    <w:p w14:paraId="44D6B7E7" w14:textId="77777777" w:rsidR="00D017F9" w:rsidRDefault="00125533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20</w:t>
      </w:r>
      <w:r w:rsidR="000E21FA">
        <w:rPr>
          <w:szCs w:val="20"/>
        </w:rPr>
        <w:t xml:space="preserve">. Avoid contractions (unless they appear </w:t>
      </w:r>
      <w:r w:rsidR="00DE440A">
        <w:rPr>
          <w:szCs w:val="20"/>
        </w:rPr>
        <w:t>from source material being quoted</w:t>
      </w:r>
      <w:r w:rsidR="000E21FA">
        <w:rPr>
          <w:szCs w:val="20"/>
        </w:rPr>
        <w:t>).</w:t>
      </w:r>
    </w:p>
    <w:p w14:paraId="7C59E771" w14:textId="77777777" w:rsidR="00D017F9" w:rsidRDefault="000E21FA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2</w:t>
      </w:r>
      <w:r w:rsidR="00125533">
        <w:rPr>
          <w:szCs w:val="20"/>
        </w:rPr>
        <w:t>1</w:t>
      </w:r>
      <w:r>
        <w:rPr>
          <w:szCs w:val="20"/>
        </w:rPr>
        <w:t>. Use “</w:t>
      </w:r>
      <w:r w:rsidR="007C09C7">
        <w:rPr>
          <w:szCs w:val="20"/>
        </w:rPr>
        <w:t>(</w:t>
      </w:r>
      <w:r>
        <w:rPr>
          <w:szCs w:val="20"/>
        </w:rPr>
        <w:t>emphasis added</w:t>
      </w:r>
      <w:r w:rsidR="007C09C7">
        <w:rPr>
          <w:szCs w:val="20"/>
        </w:rPr>
        <w:t>).</w:t>
      </w:r>
      <w:r>
        <w:rPr>
          <w:szCs w:val="20"/>
        </w:rPr>
        <w:t>”</w:t>
      </w:r>
      <w:r w:rsidR="007C09C7">
        <w:rPr>
          <w:szCs w:val="20"/>
        </w:rPr>
        <w:t xml:space="preserve"> at the end of the footnote when appropriate</w:t>
      </w:r>
      <w:r>
        <w:rPr>
          <w:szCs w:val="20"/>
        </w:rPr>
        <w:t>.</w:t>
      </w:r>
    </w:p>
    <w:p w14:paraId="2010C1AE" w14:textId="77777777" w:rsidR="00D017F9" w:rsidRDefault="000E21FA">
      <w:pPr>
        <w:tabs>
          <w:tab w:val="num" w:pos="360"/>
        </w:tabs>
        <w:ind w:left="360" w:hanging="360"/>
        <w:rPr>
          <w:szCs w:val="20"/>
        </w:rPr>
      </w:pPr>
      <w:r>
        <w:rPr>
          <w:szCs w:val="20"/>
        </w:rPr>
        <w:t>2</w:t>
      </w:r>
      <w:r w:rsidR="00125533">
        <w:rPr>
          <w:szCs w:val="20"/>
        </w:rPr>
        <w:t>2</w:t>
      </w:r>
      <w:r>
        <w:rPr>
          <w:szCs w:val="20"/>
        </w:rPr>
        <w:t xml:space="preserve">. Use “premodernism”/ “postmodernism” (avoiding the hyphens). </w:t>
      </w:r>
    </w:p>
    <w:p w14:paraId="3DE2EBC8" w14:textId="77777777" w:rsidR="009431B3" w:rsidRDefault="00125533">
      <w:pPr>
        <w:tabs>
          <w:tab w:val="num" w:pos="360"/>
        </w:tabs>
        <w:ind w:left="360" w:hanging="360"/>
        <w:rPr>
          <w:szCs w:val="20"/>
        </w:rPr>
      </w:pPr>
      <w:bookmarkStart w:id="0" w:name="_Hlk498176540"/>
      <w:r>
        <w:rPr>
          <w:szCs w:val="20"/>
        </w:rPr>
        <w:t>23</w:t>
      </w:r>
      <w:r w:rsidR="009431B3">
        <w:rPr>
          <w:szCs w:val="20"/>
        </w:rPr>
        <w:t xml:space="preserve">. Use the </w:t>
      </w:r>
      <w:proofErr w:type="spellStart"/>
      <w:r w:rsidR="0061548F">
        <w:rPr>
          <w:szCs w:val="20"/>
        </w:rPr>
        <w:t>e</w:t>
      </w:r>
      <w:r w:rsidR="009431B3">
        <w:rPr>
          <w:szCs w:val="20"/>
        </w:rPr>
        <w:t>m</w:t>
      </w:r>
      <w:proofErr w:type="spellEnd"/>
      <w:r w:rsidR="009431B3">
        <w:rPr>
          <w:szCs w:val="20"/>
        </w:rPr>
        <w:t xml:space="preserve">-dash without spaces (aa—aa) </w:t>
      </w:r>
      <w:r w:rsidR="009431B3" w:rsidRPr="009431B3">
        <w:rPr>
          <w:szCs w:val="20"/>
        </w:rPr>
        <w:t xml:space="preserve">only for </w:t>
      </w:r>
      <w:r w:rsidR="009431B3" w:rsidRPr="009431B3">
        <w:t>interjections of material not subordinate to the main clause.</w:t>
      </w:r>
    </w:p>
    <w:bookmarkEnd w:id="0"/>
    <w:p w14:paraId="457C1AA4" w14:textId="77777777" w:rsidR="00D017F9" w:rsidRDefault="000E21FA">
      <w:pPr>
        <w:tabs>
          <w:tab w:val="num" w:pos="360"/>
        </w:tabs>
        <w:ind w:left="360" w:hanging="360"/>
        <w:rPr>
          <w:color w:val="000000"/>
          <w:szCs w:val="20"/>
          <w:lang w:val="en-GB"/>
        </w:rPr>
      </w:pPr>
      <w:r>
        <w:rPr>
          <w:szCs w:val="20"/>
        </w:rPr>
        <w:lastRenderedPageBreak/>
        <w:t>2</w:t>
      </w:r>
      <w:r w:rsidR="00125533">
        <w:rPr>
          <w:szCs w:val="20"/>
        </w:rPr>
        <w:t>4</w:t>
      </w:r>
      <w:r>
        <w:rPr>
          <w:szCs w:val="20"/>
        </w:rPr>
        <w:t xml:space="preserve">. </w:t>
      </w:r>
      <w:r>
        <w:rPr>
          <w:color w:val="000000"/>
          <w:szCs w:val="20"/>
          <w:lang w:val="en-GB"/>
        </w:rPr>
        <w:t>Christian/first name (or initials) of a person is to be used in the initial citation; surname/last name only used in all subsequent citations.</w:t>
      </w:r>
    </w:p>
    <w:p w14:paraId="4516EE41" w14:textId="18BCF62E" w:rsidR="00D017F9" w:rsidRDefault="000E21FA">
      <w:pPr>
        <w:tabs>
          <w:tab w:val="num" w:pos="360"/>
        </w:tabs>
        <w:ind w:left="360" w:hanging="360"/>
        <w:rPr>
          <w:szCs w:val="20"/>
        </w:rPr>
      </w:pPr>
      <w:r>
        <w:rPr>
          <w:color w:val="000000"/>
          <w:szCs w:val="20"/>
          <w:lang w:val="en-GB"/>
        </w:rPr>
        <w:t>2</w:t>
      </w:r>
      <w:r w:rsidR="00400BE3">
        <w:rPr>
          <w:color w:val="000000"/>
          <w:szCs w:val="20"/>
          <w:lang w:val="en-GB"/>
        </w:rPr>
        <w:t>5</w:t>
      </w:r>
      <w:r>
        <w:rPr>
          <w:color w:val="000000"/>
          <w:szCs w:val="20"/>
          <w:lang w:val="en-GB"/>
        </w:rPr>
        <w:t xml:space="preserve">. </w:t>
      </w:r>
      <w:r w:rsidR="006E62F5">
        <w:rPr>
          <w:color w:val="000000"/>
          <w:szCs w:val="20"/>
          <w:lang w:val="en-GB"/>
        </w:rPr>
        <w:t>Use</w:t>
      </w:r>
      <w:r>
        <w:rPr>
          <w:color w:val="000000"/>
          <w:szCs w:val="20"/>
          <w:lang w:val="en-GB"/>
        </w:rPr>
        <w:t xml:space="preserve"> the following rules for</w:t>
      </w:r>
      <w:r w:rsidR="00FE387E">
        <w:rPr>
          <w:color w:val="000000"/>
          <w:szCs w:val="20"/>
          <w:lang w:val="en-GB"/>
        </w:rPr>
        <w:t xml:space="preserve"> </w:t>
      </w:r>
      <w:r w:rsidR="00FE387E">
        <w:rPr>
          <w:szCs w:val="20"/>
        </w:rPr>
        <w:t>capitalization</w:t>
      </w:r>
      <w:r>
        <w:rPr>
          <w:szCs w:val="20"/>
        </w:rPr>
        <w:t>:</w:t>
      </w:r>
    </w:p>
    <w:p w14:paraId="00CFD4D5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rPr>
          <w:szCs w:val="20"/>
        </w:rPr>
        <w:t>Capitalize t</w:t>
      </w:r>
      <w:r>
        <w:t xml:space="preserve">he first word of a sentence and all proper names/nouns. </w:t>
      </w:r>
    </w:p>
    <w:p w14:paraId="4024B177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rPr>
          <w:szCs w:val="20"/>
        </w:rPr>
        <w:t xml:space="preserve">Use </w:t>
      </w:r>
      <w:r>
        <w:rPr>
          <w:szCs w:val="20"/>
          <w:u w:val="single"/>
        </w:rPr>
        <w:t>H</w:t>
      </w:r>
      <w:r>
        <w:rPr>
          <w:szCs w:val="20"/>
        </w:rPr>
        <w:t xml:space="preserve">ell and </w:t>
      </w:r>
      <w:r>
        <w:rPr>
          <w:szCs w:val="20"/>
          <w:u w:val="single"/>
        </w:rPr>
        <w:t>H</w:t>
      </w:r>
      <w:r>
        <w:rPr>
          <w:szCs w:val="20"/>
        </w:rPr>
        <w:t xml:space="preserve">eaven (as per Lewis). </w:t>
      </w:r>
    </w:p>
    <w:p w14:paraId="5AB90403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t xml:space="preserve">Use </w:t>
      </w:r>
      <w:r>
        <w:rPr>
          <w:u w:val="single"/>
        </w:rPr>
        <w:t>B</w:t>
      </w:r>
      <w:r>
        <w:t xml:space="preserve">ible; </w:t>
      </w:r>
      <w:r>
        <w:rPr>
          <w:u w:val="single"/>
        </w:rPr>
        <w:t>b</w:t>
      </w:r>
      <w:r>
        <w:t xml:space="preserve">iblical; </w:t>
      </w:r>
      <w:r>
        <w:rPr>
          <w:u w:val="single"/>
        </w:rPr>
        <w:t>S</w:t>
      </w:r>
      <w:r>
        <w:t xml:space="preserve">cripture; </w:t>
      </w:r>
      <w:r>
        <w:rPr>
          <w:u w:val="single"/>
        </w:rPr>
        <w:t>G</w:t>
      </w:r>
      <w:r>
        <w:t>ospel(s)</w:t>
      </w:r>
    </w:p>
    <w:p w14:paraId="06DBCDF8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t xml:space="preserve">Use </w:t>
      </w:r>
      <w:r>
        <w:rPr>
          <w:u w:val="single"/>
        </w:rPr>
        <w:t>C</w:t>
      </w:r>
      <w:r>
        <w:t xml:space="preserve">hurch of England; Methodist </w:t>
      </w:r>
      <w:r>
        <w:rPr>
          <w:u w:val="single"/>
        </w:rPr>
        <w:t>C</w:t>
      </w:r>
      <w:r>
        <w:t xml:space="preserve">hurch; </w:t>
      </w:r>
      <w:r w:rsidRPr="00D45A32">
        <w:rPr>
          <w:u w:val="single"/>
        </w:rPr>
        <w:t>R</w:t>
      </w:r>
      <w:r>
        <w:t xml:space="preserve">oman </w:t>
      </w:r>
      <w:r w:rsidRPr="00D45A32">
        <w:rPr>
          <w:u w:val="single"/>
        </w:rPr>
        <w:t>C</w:t>
      </w:r>
      <w:r>
        <w:t xml:space="preserve">atholic </w:t>
      </w:r>
      <w:r w:rsidRPr="00D45A32">
        <w:rPr>
          <w:u w:val="single"/>
        </w:rPr>
        <w:t>C</w:t>
      </w:r>
      <w:r>
        <w:t xml:space="preserve">hurch; </w:t>
      </w:r>
      <w:r>
        <w:rPr>
          <w:u w:val="single"/>
        </w:rPr>
        <w:t>c</w:t>
      </w:r>
      <w:r>
        <w:t xml:space="preserve">hurch. </w:t>
      </w:r>
    </w:p>
    <w:p w14:paraId="397965A1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t xml:space="preserve">Use </w:t>
      </w:r>
      <w:r>
        <w:rPr>
          <w:u w:val="single"/>
        </w:rPr>
        <w:t>I</w:t>
      </w:r>
      <w:r>
        <w:t xml:space="preserve">ncarnation, </w:t>
      </w:r>
      <w:r>
        <w:rPr>
          <w:u w:val="single"/>
        </w:rPr>
        <w:t>R</w:t>
      </w:r>
      <w:r>
        <w:t xml:space="preserve">esurrection, </w:t>
      </w:r>
      <w:r>
        <w:rPr>
          <w:u w:val="single"/>
        </w:rPr>
        <w:t>P</w:t>
      </w:r>
      <w:r>
        <w:t xml:space="preserve">atristic, </w:t>
      </w:r>
      <w:r>
        <w:rPr>
          <w:u w:val="single"/>
        </w:rPr>
        <w:t>A</w:t>
      </w:r>
      <w:r>
        <w:t xml:space="preserve">postolic, </w:t>
      </w:r>
      <w:r>
        <w:rPr>
          <w:u w:val="single"/>
        </w:rPr>
        <w:t>T</w:t>
      </w:r>
      <w:r>
        <w:t>rinity.</w:t>
      </w:r>
    </w:p>
    <w:p w14:paraId="013CB6B8" w14:textId="77777777" w:rsidR="00D5351D" w:rsidRDefault="00D5351D" w:rsidP="00D5351D">
      <w:pPr>
        <w:numPr>
          <w:ilvl w:val="0"/>
          <w:numId w:val="8"/>
        </w:numPr>
        <w:tabs>
          <w:tab w:val="left" w:pos="720"/>
        </w:tabs>
        <w:rPr>
          <w:szCs w:val="20"/>
        </w:rPr>
      </w:pPr>
      <w:r>
        <w:t xml:space="preserve">Use </w:t>
      </w:r>
      <w:r>
        <w:rPr>
          <w:i/>
          <w:u w:val="single"/>
        </w:rPr>
        <w:t>T</w:t>
      </w:r>
      <w:r>
        <w:rPr>
          <w:i/>
        </w:rPr>
        <w:t>he Chronicles of Narnia</w:t>
      </w:r>
      <w:r>
        <w:t xml:space="preserve"> (full title); </w:t>
      </w:r>
      <w:r>
        <w:rPr>
          <w:u w:val="single"/>
        </w:rPr>
        <w:t>t</w:t>
      </w:r>
      <w:r>
        <w:t xml:space="preserve">he </w:t>
      </w:r>
      <w:r>
        <w:rPr>
          <w:i/>
        </w:rPr>
        <w:t>Chronicles</w:t>
      </w:r>
      <w:r>
        <w:t xml:space="preserve"> (short title). </w:t>
      </w:r>
      <w:r>
        <w:rPr>
          <w:szCs w:val="20"/>
        </w:rPr>
        <w:t xml:space="preserve"> </w:t>
      </w:r>
    </w:p>
    <w:p w14:paraId="58920318" w14:textId="18E30282" w:rsidR="009F7A1E" w:rsidRDefault="007C09C7">
      <w:pPr>
        <w:rPr>
          <w:szCs w:val="20"/>
        </w:rPr>
      </w:pPr>
      <w:r>
        <w:rPr>
          <w:szCs w:val="20"/>
        </w:rPr>
        <w:t>2</w:t>
      </w:r>
      <w:r w:rsidR="00400BE3">
        <w:rPr>
          <w:szCs w:val="20"/>
        </w:rPr>
        <w:t>6</w:t>
      </w:r>
      <w:r>
        <w:rPr>
          <w:szCs w:val="20"/>
        </w:rPr>
        <w:t xml:space="preserve">. </w:t>
      </w:r>
      <w:r w:rsidR="00D45A32">
        <w:rPr>
          <w:szCs w:val="20"/>
        </w:rPr>
        <w:t>The insertion of s</w:t>
      </w:r>
      <w:r>
        <w:rPr>
          <w:szCs w:val="20"/>
        </w:rPr>
        <w:t xml:space="preserve">ections/subsections should be avoided in the body of the article. </w:t>
      </w:r>
    </w:p>
    <w:p w14:paraId="19056946" w14:textId="6528CD20" w:rsidR="00065A3E" w:rsidRPr="00065A3E" w:rsidRDefault="009F7A1E" w:rsidP="00065A3E">
      <w:pPr>
        <w:ind w:left="360" w:hanging="360"/>
      </w:pPr>
      <w:r>
        <w:rPr>
          <w:color w:val="000000"/>
          <w:szCs w:val="20"/>
          <w:lang w:val="en-GB"/>
        </w:rPr>
        <w:t xml:space="preserve">27. </w:t>
      </w:r>
      <w:r w:rsidR="00065A3E">
        <w:rPr>
          <w:szCs w:val="20"/>
        </w:rPr>
        <w:t xml:space="preserve">Submit any images or charts in separate files </w:t>
      </w:r>
      <w:r w:rsidR="00065A3E" w:rsidRPr="00A54A26">
        <w:t>with instruction</w:t>
      </w:r>
      <w:r w:rsidR="00065A3E">
        <w:t>s</w:t>
      </w:r>
      <w:r w:rsidR="00065A3E" w:rsidRPr="00A54A26">
        <w:t xml:space="preserve"> in the text </w:t>
      </w:r>
      <w:r w:rsidR="00065A3E">
        <w:t xml:space="preserve">regarding where these elements should be placed. </w:t>
      </w:r>
    </w:p>
    <w:p w14:paraId="26FC4AB0" w14:textId="77777777" w:rsidR="00A4072D" w:rsidRDefault="00A4072D" w:rsidP="00065A3E">
      <w:pPr>
        <w:rPr>
          <w:szCs w:val="20"/>
        </w:rPr>
      </w:pPr>
    </w:p>
    <w:p w14:paraId="37CA1A21" w14:textId="77777777" w:rsidR="00D017F9" w:rsidRDefault="000E21FA" w:rsidP="00065A3E">
      <w:pPr>
        <w:numPr>
          <w:ilvl w:val="0"/>
          <w:numId w:val="12"/>
        </w:numPr>
        <w:tabs>
          <w:tab w:val="left" w:pos="0"/>
        </w:tabs>
        <w:ind w:left="0" w:hanging="360"/>
      </w:pPr>
      <w:r>
        <w:rPr>
          <w:b/>
        </w:rPr>
        <w:t>Quotations</w:t>
      </w:r>
    </w:p>
    <w:p w14:paraId="5F5935CF" w14:textId="3DAAABB4" w:rsidR="00FE387E" w:rsidRDefault="00FE387E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Periods/full stops </w:t>
      </w:r>
      <w:r w:rsidR="00B840E5">
        <w:rPr>
          <w:szCs w:val="20"/>
        </w:rPr>
        <w:t xml:space="preserve">and commas </w:t>
      </w:r>
      <w:r>
        <w:rPr>
          <w:szCs w:val="20"/>
        </w:rPr>
        <w:t xml:space="preserve">should be placed </w:t>
      </w:r>
      <w:r w:rsidRPr="00FE387E">
        <w:rPr>
          <w:i/>
          <w:szCs w:val="20"/>
        </w:rPr>
        <w:t>inside</w:t>
      </w:r>
      <w:r>
        <w:rPr>
          <w:szCs w:val="20"/>
        </w:rPr>
        <w:t xml:space="preserve"> the quotation mark</w:t>
      </w:r>
      <w:r w:rsidR="00D45A32">
        <w:rPr>
          <w:szCs w:val="20"/>
        </w:rPr>
        <w:t xml:space="preserve"> (American style)</w:t>
      </w:r>
      <w:r>
        <w:rPr>
          <w:szCs w:val="20"/>
        </w:rPr>
        <w:t>.</w:t>
      </w:r>
      <w:r w:rsidR="00A4072D">
        <w:rPr>
          <w:szCs w:val="20"/>
        </w:rPr>
        <w:t xml:space="preserve"> Semi-colons should be placed </w:t>
      </w:r>
      <w:r w:rsidR="00A4072D" w:rsidRPr="00A4072D">
        <w:rPr>
          <w:i/>
          <w:szCs w:val="20"/>
        </w:rPr>
        <w:t>outside</w:t>
      </w:r>
      <w:r w:rsidR="00A4072D">
        <w:rPr>
          <w:szCs w:val="20"/>
        </w:rPr>
        <w:t xml:space="preserve"> the quotation marks. </w:t>
      </w:r>
    </w:p>
    <w:p w14:paraId="7C722D86" w14:textId="77777777" w:rsidR="00D017F9" w:rsidRDefault="000E21FA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szCs w:val="20"/>
        </w:rPr>
      </w:pPr>
      <w:r>
        <w:rPr>
          <w:szCs w:val="20"/>
        </w:rPr>
        <w:t>Run-in quotations: quotations less than 45 words in length should be run into the text. Use double quotation marks. Use single quotation marks for a quotation that appears inside the quotation.</w:t>
      </w:r>
    </w:p>
    <w:p w14:paraId="43495A07" w14:textId="3516312E" w:rsidR="00D017F9" w:rsidRDefault="000E21FA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szCs w:val="20"/>
        </w:rPr>
      </w:pPr>
      <w:r>
        <w:rPr>
          <w:szCs w:val="20"/>
        </w:rPr>
        <w:t>Block quotations: quotations of 45 words in length and longer should be set off from the text, single-spaced, each line indented .5 from the left-hand margin, without quotation marks (unless a quotation has been incorporated in the quotation, in which case single quotation marks are to be used), and in 1</w:t>
      </w:r>
      <w:r w:rsidR="005E1326">
        <w:rPr>
          <w:szCs w:val="20"/>
        </w:rPr>
        <w:t>2</w:t>
      </w:r>
      <w:r>
        <w:rPr>
          <w:szCs w:val="20"/>
        </w:rPr>
        <w:t>-point font. Double space between paragraphs. Do not indent the first sentence of a paragraph.</w:t>
      </w:r>
    </w:p>
    <w:p w14:paraId="700F8B31" w14:textId="77777777" w:rsidR="00D017F9" w:rsidRDefault="00D017F9">
      <w:pPr>
        <w:tabs>
          <w:tab w:val="left" w:pos="288"/>
          <w:tab w:val="num" w:pos="360"/>
        </w:tabs>
        <w:ind w:left="360" w:hanging="360"/>
      </w:pPr>
    </w:p>
    <w:p w14:paraId="1F5BD009" w14:textId="77777777" w:rsidR="00D017F9" w:rsidRDefault="00D53F67">
      <w:pPr>
        <w:pStyle w:val="Heading2"/>
        <w:tabs>
          <w:tab w:val="left" w:pos="0"/>
        </w:tabs>
      </w:pPr>
      <w:r>
        <w:t>Footnotes</w:t>
      </w:r>
    </w:p>
    <w:p w14:paraId="2048BF37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  <w:rPr>
          <w:szCs w:val="20"/>
        </w:rPr>
      </w:pPr>
      <w:r>
        <w:rPr>
          <w:szCs w:val="20"/>
        </w:rPr>
        <w:t>Use footnotes, not endnotes.</w:t>
      </w:r>
    </w:p>
    <w:p w14:paraId="21DC6192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rPr>
          <w:szCs w:val="20"/>
        </w:rPr>
        <w:t>Use Times New Roman font, 10 point, single-spacing</w:t>
      </w:r>
      <w:r w:rsidR="007C09C7">
        <w:rPr>
          <w:szCs w:val="20"/>
        </w:rPr>
        <w:t>, first line indented .5</w:t>
      </w:r>
      <w:r>
        <w:rPr>
          <w:szCs w:val="20"/>
        </w:rPr>
        <w:t>.</w:t>
      </w:r>
    </w:p>
    <w:p w14:paraId="1E97E78C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>List the first (Christian) name followed by last name (surname) of the author or editor, followed by a comma, book title (in italics; if an article is being cite</w:t>
      </w:r>
      <w:r w:rsidR="009C2782">
        <w:t>d</w:t>
      </w:r>
      <w:r>
        <w:t xml:space="preserve">, place the title in quotation marks), followed by </w:t>
      </w:r>
      <w:r w:rsidR="00FC3495">
        <w:t xml:space="preserve">a beginning parenthesis </w:t>
      </w:r>
      <w:r w:rsidR="00183B9B">
        <w:t>mark with</w:t>
      </w:r>
      <w:r w:rsidR="00FC3495">
        <w:t xml:space="preserve"> </w:t>
      </w:r>
      <w:r>
        <w:t>the place</w:t>
      </w:r>
      <w:r w:rsidR="00FC3495">
        <w:t xml:space="preserve"> of publication (followed by a colon</w:t>
      </w:r>
      <w:r w:rsidR="00183B9B">
        <w:t>)</w:t>
      </w:r>
      <w:r w:rsidR="00FC3495">
        <w:t xml:space="preserve">, the </w:t>
      </w:r>
      <w:r w:rsidR="008A4FC6">
        <w:t>publisher</w:t>
      </w:r>
      <w:r w:rsidR="00FC3495">
        <w:t xml:space="preserve">, </w:t>
      </w:r>
      <w:r w:rsidR="00183B9B">
        <w:t>(</w:t>
      </w:r>
      <w:r w:rsidR="00FC3495">
        <w:t xml:space="preserve">followed </w:t>
      </w:r>
      <w:r w:rsidR="00183B9B">
        <w:t>by a comma)</w:t>
      </w:r>
      <w:r>
        <w:t xml:space="preserve"> and date</w:t>
      </w:r>
      <w:r w:rsidR="00FC3495">
        <w:t xml:space="preserve"> of publication</w:t>
      </w:r>
      <w:r>
        <w:t xml:space="preserve">, </w:t>
      </w:r>
      <w:r w:rsidR="00183B9B">
        <w:t>followed by an</w:t>
      </w:r>
      <w:r w:rsidR="00FC3495">
        <w:t xml:space="preserve"> end parenthesis</w:t>
      </w:r>
      <w:r w:rsidR="00183B9B">
        <w:t xml:space="preserve"> mark,</w:t>
      </w:r>
      <w:r w:rsidR="00FC3495">
        <w:t xml:space="preserve"> </w:t>
      </w:r>
      <w:r>
        <w:t>followed by a comma, followed by the page number(s).</w:t>
      </w:r>
    </w:p>
    <w:p w14:paraId="449AA09A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>Omit “p.” and “pp.” when indicating page number(s).</w:t>
      </w:r>
    </w:p>
    <w:p w14:paraId="7B101D5E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>Do not insert an extra space between footnotes.</w:t>
      </w:r>
    </w:p>
    <w:p w14:paraId="34438ECB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 xml:space="preserve">Avoid the use of “Ibid” or “Cf”. </w:t>
      </w:r>
    </w:p>
    <w:p w14:paraId="1EC9CE1A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 xml:space="preserve">When multiple (but separate) quotations from a single source appear in the same sentence, only one footnote, inserted at the end of the sentence, is required. </w:t>
      </w:r>
    </w:p>
    <w:p w14:paraId="3EF47271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 xml:space="preserve">Short title: After the initial citation of a work, use short title form on </w:t>
      </w:r>
      <w:r>
        <w:rPr>
          <w:i/>
          <w:iCs/>
        </w:rPr>
        <w:t>all</w:t>
      </w:r>
      <w:r>
        <w:t xml:space="preserve"> subsequent citations.</w:t>
      </w:r>
    </w:p>
    <w:p w14:paraId="42D73F54" w14:textId="77777777" w:rsidR="00D017F9" w:rsidRDefault="000E21FA">
      <w:pPr>
        <w:numPr>
          <w:ilvl w:val="4"/>
          <w:numId w:val="1"/>
        </w:numPr>
        <w:tabs>
          <w:tab w:val="clear" w:pos="3600"/>
          <w:tab w:val="num" w:pos="360"/>
        </w:tabs>
        <w:ind w:left="360"/>
      </w:pPr>
      <w:r>
        <w:t xml:space="preserve">Examples:  </w:t>
      </w:r>
    </w:p>
    <w:p w14:paraId="56A55108" w14:textId="77777777" w:rsidR="00D017F9" w:rsidRDefault="000E21FA">
      <w:pPr>
        <w:tabs>
          <w:tab w:val="left" w:pos="720"/>
        </w:tabs>
        <w:ind w:left="360"/>
        <w:rPr>
          <w:szCs w:val="20"/>
        </w:rPr>
      </w:pPr>
      <w:proofErr w:type="spellStart"/>
      <w:r>
        <w:rPr>
          <w:szCs w:val="20"/>
        </w:rPr>
        <w:t>i</w:t>
      </w:r>
      <w:proofErr w:type="spellEnd"/>
      <w:r>
        <w:rPr>
          <w:szCs w:val="20"/>
        </w:rPr>
        <w:t>.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  <w:t>Books:</w:t>
      </w:r>
    </w:p>
    <w:p w14:paraId="2DF9D001" w14:textId="60728AB5" w:rsidR="00810D51" w:rsidRPr="00810D51" w:rsidRDefault="000E21FA" w:rsidP="00810D51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Single author</w:t>
      </w:r>
      <w:r>
        <w:rPr>
          <w:szCs w:val="20"/>
        </w:rPr>
        <w:t xml:space="preserve">: </w:t>
      </w:r>
      <w:bookmarkStart w:id="1" w:name="_Hlk44323941"/>
      <w:r w:rsidR="00810D51">
        <w:t xml:space="preserve">Wesley A. </w:t>
      </w:r>
      <w:proofErr w:type="spellStart"/>
      <w:r w:rsidR="00810D51">
        <w:t>Kort</w:t>
      </w:r>
      <w:proofErr w:type="spellEnd"/>
      <w:r w:rsidR="00810D51">
        <w:t xml:space="preserve">, </w:t>
      </w:r>
      <w:r w:rsidR="00810D51" w:rsidRPr="00810D51">
        <w:rPr>
          <w:i/>
        </w:rPr>
        <w:t>Reading C. S. Lewis</w:t>
      </w:r>
      <w:r w:rsidR="00810D51">
        <w:t>:</w:t>
      </w:r>
      <w:r w:rsidR="00810D51" w:rsidRPr="00810D51">
        <w:rPr>
          <w:i/>
        </w:rPr>
        <w:t xml:space="preserve"> A Commentary</w:t>
      </w:r>
      <w:r w:rsidR="00810D51">
        <w:t xml:space="preserve"> (New York: Oxford University Press, 2016)</w:t>
      </w:r>
      <w:r w:rsidR="00503920">
        <w:t>, 166.</w:t>
      </w:r>
    </w:p>
    <w:bookmarkEnd w:id="1"/>
    <w:p w14:paraId="098B5BB7" w14:textId="244C2669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Multiple authors</w:t>
      </w:r>
      <w:r>
        <w:rPr>
          <w:szCs w:val="20"/>
        </w:rPr>
        <w:t xml:space="preserve">: </w:t>
      </w:r>
      <w:bookmarkStart w:id="2" w:name="_Hlk44322149"/>
      <w:r w:rsidR="00793595">
        <w:rPr>
          <w:szCs w:val="20"/>
        </w:rPr>
        <w:t xml:space="preserve">David </w:t>
      </w:r>
      <w:r w:rsidR="00793595">
        <w:t>O’Hara</w:t>
      </w:r>
      <w:r w:rsidR="00793595" w:rsidRPr="007D376F">
        <w:t xml:space="preserve"> and Matthew Dickerson, </w:t>
      </w:r>
      <w:r w:rsidR="00793595">
        <w:rPr>
          <w:i/>
        </w:rPr>
        <w:t xml:space="preserve">Narnia and the Fields of Arbol: </w:t>
      </w:r>
      <w:r w:rsidR="00793595" w:rsidRPr="00EB266E">
        <w:rPr>
          <w:i/>
        </w:rPr>
        <w:t>The Environmental Vision of C. S. Lewis</w:t>
      </w:r>
      <w:r w:rsidR="00793595">
        <w:t xml:space="preserve"> (Lexington, </w:t>
      </w:r>
      <w:r w:rsidR="002E1C8F">
        <w:t>KY</w:t>
      </w:r>
      <w:r w:rsidR="00793595">
        <w:t xml:space="preserve">: </w:t>
      </w:r>
      <w:r w:rsidR="00E01F26" w:rsidRPr="00E01F26">
        <w:rPr>
          <w:shd w:val="clear" w:color="auto" w:fill="FFFFFF"/>
        </w:rPr>
        <w:t>University Press</w:t>
      </w:r>
      <w:r w:rsidR="00E01F26">
        <w:rPr>
          <w:shd w:val="clear" w:color="auto" w:fill="FFFFFF"/>
        </w:rPr>
        <w:t xml:space="preserve"> of Kentucky</w:t>
      </w:r>
      <w:r w:rsidR="00793595">
        <w:t>, 2009</w:t>
      </w:r>
      <w:r w:rsidR="00793595">
        <w:rPr>
          <w:szCs w:val="20"/>
        </w:rPr>
        <w:t>)</w:t>
      </w:r>
      <w:bookmarkEnd w:id="2"/>
      <w:r w:rsidR="00793595">
        <w:rPr>
          <w:szCs w:val="20"/>
        </w:rPr>
        <w:t>, 2</w:t>
      </w:r>
      <w:r>
        <w:rPr>
          <w:szCs w:val="20"/>
        </w:rPr>
        <w:t>2.</w:t>
      </w:r>
    </w:p>
    <w:p w14:paraId="424A3E18" w14:textId="77777777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Editor</w:t>
      </w:r>
      <w:r>
        <w:rPr>
          <w:szCs w:val="20"/>
        </w:rPr>
        <w:t xml:space="preserve">: </w:t>
      </w:r>
      <w:r w:rsidR="00040DDA">
        <w:rPr>
          <w:szCs w:val="20"/>
        </w:rPr>
        <w:t>David Graham</w:t>
      </w:r>
      <w:r>
        <w:rPr>
          <w:szCs w:val="20"/>
        </w:rPr>
        <w:t xml:space="preserve">, ed., </w:t>
      </w:r>
      <w:r w:rsidR="00040DDA">
        <w:rPr>
          <w:i/>
          <w:szCs w:val="20"/>
        </w:rPr>
        <w:t>We Remember C. S. Lewis</w:t>
      </w:r>
      <w:r>
        <w:rPr>
          <w:szCs w:val="20"/>
        </w:rPr>
        <w:t xml:space="preserve"> (</w:t>
      </w:r>
      <w:r w:rsidR="00040DDA">
        <w:rPr>
          <w:szCs w:val="20"/>
        </w:rPr>
        <w:t>Nashville: Broadman and Holman, 2001), ix</w:t>
      </w:r>
      <w:r>
        <w:rPr>
          <w:szCs w:val="20"/>
        </w:rPr>
        <w:t>.</w:t>
      </w:r>
    </w:p>
    <w:p w14:paraId="353CE48E" w14:textId="49549A76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szCs w:val="20"/>
        </w:rPr>
        <w:t xml:space="preserve">Editor and translator: </w:t>
      </w:r>
      <w:r w:rsidR="00D75D84">
        <w:rPr>
          <w:szCs w:val="20"/>
          <w:shd w:val="clear" w:color="auto" w:fill="FFFFFF"/>
        </w:rPr>
        <w:t>Norah</w:t>
      </w:r>
      <w:r w:rsidR="00D75D84" w:rsidRPr="00D75D84">
        <w:rPr>
          <w:szCs w:val="20"/>
          <w:shd w:val="clear" w:color="auto" w:fill="FFFFFF"/>
        </w:rPr>
        <w:t xml:space="preserve"> Kershaw</w:t>
      </w:r>
      <w:r w:rsidR="009F0600">
        <w:rPr>
          <w:szCs w:val="20"/>
        </w:rPr>
        <w:t>, ed. and trans.</w:t>
      </w:r>
      <w:r w:rsidR="009B4E9E">
        <w:rPr>
          <w:szCs w:val="20"/>
        </w:rPr>
        <w:t>,</w:t>
      </w:r>
      <w:r w:rsidR="009F0600">
        <w:rPr>
          <w:szCs w:val="20"/>
        </w:rPr>
        <w:t xml:space="preserve"> </w:t>
      </w:r>
      <w:r w:rsidR="00D75D84" w:rsidRPr="00D75D84">
        <w:rPr>
          <w:i/>
          <w:szCs w:val="20"/>
        </w:rPr>
        <w:t>Anglo-Saxon and Norse Poems</w:t>
      </w:r>
      <w:r w:rsidR="00D75D84">
        <w:rPr>
          <w:szCs w:val="20"/>
        </w:rPr>
        <w:t xml:space="preserve"> (Cambridge: </w:t>
      </w:r>
      <w:r w:rsidR="003245A2">
        <w:rPr>
          <w:szCs w:val="20"/>
        </w:rPr>
        <w:t>Cambridge</w:t>
      </w:r>
      <w:r w:rsidR="003245A2" w:rsidRPr="00E01F26">
        <w:rPr>
          <w:shd w:val="clear" w:color="auto" w:fill="FFFFFF"/>
        </w:rPr>
        <w:t xml:space="preserve"> University Press</w:t>
      </w:r>
      <w:r w:rsidR="00D75D84">
        <w:rPr>
          <w:szCs w:val="20"/>
        </w:rPr>
        <w:t xml:space="preserve">, 1922), 60-3. </w:t>
      </w:r>
    </w:p>
    <w:p w14:paraId="7C18DA26" w14:textId="39F73309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Multiple editors</w:t>
      </w:r>
      <w:r>
        <w:rPr>
          <w:szCs w:val="20"/>
        </w:rPr>
        <w:t xml:space="preserve">: </w:t>
      </w:r>
      <w:r w:rsidR="00F00D0C">
        <w:rPr>
          <w:szCs w:val="20"/>
        </w:rPr>
        <w:t xml:space="preserve">Robert </w:t>
      </w:r>
      <w:proofErr w:type="spellStart"/>
      <w:r w:rsidR="00F00D0C">
        <w:rPr>
          <w:szCs w:val="20"/>
        </w:rPr>
        <w:t>MacSwain</w:t>
      </w:r>
      <w:proofErr w:type="spellEnd"/>
      <w:r w:rsidR="00F00D0C">
        <w:rPr>
          <w:szCs w:val="20"/>
        </w:rPr>
        <w:t xml:space="preserve"> and Michael Ward</w:t>
      </w:r>
      <w:r>
        <w:rPr>
          <w:szCs w:val="20"/>
        </w:rPr>
        <w:t xml:space="preserve">, eds., </w:t>
      </w:r>
      <w:r>
        <w:rPr>
          <w:i/>
          <w:iCs/>
          <w:szCs w:val="20"/>
        </w:rPr>
        <w:t xml:space="preserve">The </w:t>
      </w:r>
      <w:r w:rsidR="00F00D0C">
        <w:rPr>
          <w:i/>
          <w:iCs/>
          <w:szCs w:val="20"/>
        </w:rPr>
        <w:t>Cambridge Compa</w:t>
      </w:r>
      <w:r w:rsidR="00D75D84">
        <w:rPr>
          <w:i/>
          <w:iCs/>
          <w:szCs w:val="20"/>
        </w:rPr>
        <w:t>nion to C. S. Lewis</w:t>
      </w:r>
      <w:r>
        <w:rPr>
          <w:i/>
          <w:iCs/>
          <w:szCs w:val="20"/>
        </w:rPr>
        <w:t xml:space="preserve"> </w:t>
      </w:r>
      <w:r>
        <w:rPr>
          <w:szCs w:val="20"/>
        </w:rPr>
        <w:t>(</w:t>
      </w:r>
      <w:r w:rsidR="00F00D0C">
        <w:rPr>
          <w:szCs w:val="20"/>
        </w:rPr>
        <w:t xml:space="preserve">Cambridge: </w:t>
      </w:r>
      <w:r w:rsidR="003245A2">
        <w:rPr>
          <w:szCs w:val="20"/>
        </w:rPr>
        <w:t>Cambridge</w:t>
      </w:r>
      <w:r w:rsidR="003245A2" w:rsidRPr="00E01F26">
        <w:rPr>
          <w:shd w:val="clear" w:color="auto" w:fill="FFFFFF"/>
        </w:rPr>
        <w:t xml:space="preserve"> University Press</w:t>
      </w:r>
      <w:r w:rsidR="00F00D0C">
        <w:rPr>
          <w:szCs w:val="20"/>
        </w:rPr>
        <w:t>, 2010</w:t>
      </w:r>
      <w:r>
        <w:rPr>
          <w:szCs w:val="20"/>
        </w:rPr>
        <w:t xml:space="preserve">), </w:t>
      </w:r>
      <w:r w:rsidR="00F00D0C">
        <w:rPr>
          <w:szCs w:val="20"/>
        </w:rPr>
        <w:t>6-7</w:t>
      </w:r>
      <w:r>
        <w:rPr>
          <w:szCs w:val="20"/>
        </w:rPr>
        <w:t xml:space="preserve">. </w:t>
      </w:r>
    </w:p>
    <w:p w14:paraId="6075D758" w14:textId="77777777" w:rsidR="00D017F9" w:rsidRDefault="000E21FA">
      <w:pPr>
        <w:tabs>
          <w:tab w:val="left" w:pos="720"/>
        </w:tabs>
        <w:ind w:left="720" w:hanging="360"/>
        <w:rPr>
          <w:bCs/>
          <w:szCs w:val="20"/>
        </w:rPr>
      </w:pPr>
      <w:r>
        <w:rPr>
          <w:bCs/>
          <w:szCs w:val="20"/>
        </w:rPr>
        <w:t>ii.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  <w:t>Letters</w:t>
      </w:r>
      <w:r>
        <w:rPr>
          <w:bCs/>
          <w:szCs w:val="20"/>
        </w:rPr>
        <w:t xml:space="preserve">: Letter of 24 May 1919, in C. S. Lewis, </w:t>
      </w:r>
      <w:r>
        <w:rPr>
          <w:bCs/>
          <w:i/>
          <w:szCs w:val="20"/>
        </w:rPr>
        <w:t>The Collected Letters of C. S. Lewis</w:t>
      </w:r>
      <w:r>
        <w:rPr>
          <w:bCs/>
          <w:szCs w:val="20"/>
        </w:rPr>
        <w:t>, ed. by Walter Hooper, 3 vols. (San Francisco</w:t>
      </w:r>
      <w:r w:rsidR="00D75D84">
        <w:rPr>
          <w:bCs/>
          <w:szCs w:val="20"/>
        </w:rPr>
        <w:t>: HarperCollins</w:t>
      </w:r>
      <w:r>
        <w:rPr>
          <w:bCs/>
          <w:szCs w:val="20"/>
        </w:rPr>
        <w:t>, 2004-7), 1:46.</w:t>
      </w:r>
    </w:p>
    <w:p w14:paraId="23D32868" w14:textId="77777777" w:rsidR="00D017F9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lastRenderedPageBreak/>
        <w:t>i</w:t>
      </w:r>
      <w:r w:rsidR="003C0070">
        <w:rPr>
          <w:szCs w:val="20"/>
        </w:rPr>
        <w:t>ii</w:t>
      </w:r>
      <w:r>
        <w:rPr>
          <w:szCs w:val="20"/>
        </w:rPr>
        <w:t xml:space="preserve">. </w:t>
      </w:r>
      <w:r>
        <w:rPr>
          <w:szCs w:val="20"/>
        </w:rPr>
        <w:tab/>
      </w:r>
      <w:r w:rsidR="005E6CF4" w:rsidRPr="005E6CF4">
        <w:rPr>
          <w:b/>
          <w:szCs w:val="20"/>
        </w:rPr>
        <w:t>Published</w:t>
      </w:r>
      <w:r w:rsidR="005E6CF4">
        <w:rPr>
          <w:szCs w:val="20"/>
        </w:rPr>
        <w:t xml:space="preserve"> </w:t>
      </w:r>
      <w:r>
        <w:rPr>
          <w:b/>
          <w:szCs w:val="20"/>
        </w:rPr>
        <w:t>Diary</w:t>
      </w:r>
      <w:r>
        <w:rPr>
          <w:szCs w:val="20"/>
        </w:rPr>
        <w:t xml:space="preserve">: Entry of 17 and 23 May 1922, in </w:t>
      </w:r>
      <w:r>
        <w:rPr>
          <w:color w:val="000000"/>
          <w:szCs w:val="20"/>
        </w:rPr>
        <w:t xml:space="preserve">C. S. Lewis, </w:t>
      </w:r>
      <w:r>
        <w:rPr>
          <w:i/>
          <w:iCs/>
          <w:color w:val="000000"/>
          <w:szCs w:val="20"/>
        </w:rPr>
        <w:t>All My Road Before Me: The Diary of C. S. Lewis; 1922-1927</w:t>
      </w:r>
      <w:r>
        <w:rPr>
          <w:color w:val="000000"/>
          <w:szCs w:val="20"/>
        </w:rPr>
        <w:t>, ed. by Walter Hooper (San Diego</w:t>
      </w:r>
      <w:r w:rsidR="00D75D84">
        <w:rPr>
          <w:color w:val="000000"/>
          <w:szCs w:val="20"/>
        </w:rPr>
        <w:t xml:space="preserve">: </w:t>
      </w:r>
      <w:r w:rsidR="00D75D84" w:rsidRPr="00D75D84">
        <w:rPr>
          <w:rFonts w:eastAsia="Arial Unicode MS"/>
          <w:color w:val="000000"/>
          <w:shd w:val="clear" w:color="auto" w:fill="FFFFFF"/>
        </w:rPr>
        <w:t>Harcourt Brace Jovanovich</w:t>
      </w:r>
      <w:r w:rsidRPr="00D75D84">
        <w:rPr>
          <w:color w:val="000000"/>
        </w:rPr>
        <w:t>,</w:t>
      </w:r>
      <w:r>
        <w:rPr>
          <w:color w:val="000000"/>
          <w:szCs w:val="20"/>
        </w:rPr>
        <w:t xml:space="preserve"> 1991), </w:t>
      </w:r>
      <w:r>
        <w:rPr>
          <w:szCs w:val="20"/>
        </w:rPr>
        <w:t>36, 39.</w:t>
      </w:r>
    </w:p>
    <w:p w14:paraId="76C1E4A9" w14:textId="7340A55B" w:rsidR="009C2F18" w:rsidRDefault="003C0070" w:rsidP="009C2F18">
      <w:pPr>
        <w:tabs>
          <w:tab w:val="left" w:pos="720"/>
        </w:tabs>
        <w:ind w:left="720" w:hanging="360"/>
      </w:pPr>
      <w:r>
        <w:rPr>
          <w:bCs/>
          <w:szCs w:val="20"/>
        </w:rPr>
        <w:t>i</w:t>
      </w:r>
      <w:r w:rsidR="000E21FA" w:rsidRPr="009C2782">
        <w:rPr>
          <w:bCs/>
          <w:szCs w:val="20"/>
        </w:rPr>
        <w:t xml:space="preserve">v. </w:t>
      </w:r>
      <w:r w:rsidR="000E21FA" w:rsidRPr="009C2782">
        <w:rPr>
          <w:bCs/>
          <w:szCs w:val="20"/>
        </w:rPr>
        <w:tab/>
      </w:r>
      <w:r w:rsidR="000E21FA" w:rsidRPr="00F523CD">
        <w:rPr>
          <w:b/>
          <w:bCs/>
          <w:szCs w:val="20"/>
        </w:rPr>
        <w:t>Multi-volume work</w:t>
      </w:r>
      <w:r w:rsidR="000E21FA" w:rsidRPr="009C2782">
        <w:rPr>
          <w:szCs w:val="20"/>
        </w:rPr>
        <w:t xml:space="preserve">: </w:t>
      </w:r>
      <w:r w:rsidR="009C74F3">
        <w:rPr>
          <w:szCs w:val="20"/>
        </w:rPr>
        <w:t>Paul Brazier</w:t>
      </w:r>
      <w:r w:rsidR="00AE73BA">
        <w:t>,</w:t>
      </w:r>
      <w:r w:rsidR="000E21FA" w:rsidRPr="009C74F3">
        <w:t xml:space="preserve"> </w:t>
      </w:r>
      <w:r w:rsidR="009C74F3" w:rsidRPr="009C74F3">
        <w:rPr>
          <w:i/>
          <w:iCs/>
          <w:shd w:val="clear" w:color="auto" w:fill="FFFFFF"/>
        </w:rPr>
        <w:t>C. S. Lewis</w:t>
      </w:r>
      <w:r w:rsidR="009C74F3">
        <w:rPr>
          <w:i/>
          <w:iCs/>
          <w:shd w:val="clear" w:color="auto" w:fill="FFFFFF"/>
        </w:rPr>
        <w:t>: Revelation and the Christ</w:t>
      </w:r>
      <w:r w:rsidR="0034128D">
        <w:rPr>
          <w:iCs/>
          <w:shd w:val="clear" w:color="auto" w:fill="FFFFFF"/>
        </w:rPr>
        <w:t>, 4 vols.</w:t>
      </w:r>
      <w:r w:rsidR="00AE73BA">
        <w:rPr>
          <w:i/>
          <w:iCs/>
          <w:shd w:val="clear" w:color="auto" w:fill="FFFFFF"/>
        </w:rPr>
        <w:t xml:space="preserve"> </w:t>
      </w:r>
      <w:r w:rsidR="00AE73BA" w:rsidRPr="00AE73BA">
        <w:rPr>
          <w:iCs/>
          <w:shd w:val="clear" w:color="auto" w:fill="FFFFFF"/>
        </w:rPr>
        <w:t xml:space="preserve">(Eugene, </w:t>
      </w:r>
      <w:r w:rsidR="002E1C8F">
        <w:rPr>
          <w:iCs/>
          <w:shd w:val="clear" w:color="auto" w:fill="FFFFFF"/>
        </w:rPr>
        <w:t>OR</w:t>
      </w:r>
      <w:r w:rsidR="00AE73BA" w:rsidRPr="00AE73BA">
        <w:rPr>
          <w:iCs/>
          <w:shd w:val="clear" w:color="auto" w:fill="FFFFFF"/>
        </w:rPr>
        <w:t>: Wipf and Stock, 2012-14</w:t>
      </w:r>
      <w:r w:rsidR="009C74F3" w:rsidRPr="009C74F3">
        <w:rPr>
          <w:shd w:val="clear" w:color="auto" w:fill="FFFFFF"/>
        </w:rPr>
        <w:t>)</w:t>
      </w:r>
      <w:r w:rsidR="000E21FA" w:rsidRPr="009C74F3">
        <w:t>.</w:t>
      </w:r>
    </w:p>
    <w:p w14:paraId="076E2128" w14:textId="77777777" w:rsidR="00D017F9" w:rsidRPr="009C2F18" w:rsidRDefault="003C0070" w:rsidP="009C2F18">
      <w:pPr>
        <w:tabs>
          <w:tab w:val="left" w:pos="720"/>
        </w:tabs>
        <w:ind w:left="720" w:hanging="360"/>
      </w:pPr>
      <w:r>
        <w:rPr>
          <w:bCs/>
          <w:szCs w:val="20"/>
        </w:rPr>
        <w:t>v</w:t>
      </w:r>
      <w:r w:rsidR="000E21FA">
        <w:rPr>
          <w:bCs/>
          <w:szCs w:val="20"/>
        </w:rPr>
        <w:t>.</w:t>
      </w:r>
      <w:r w:rsidR="000E21FA">
        <w:rPr>
          <w:b/>
          <w:bCs/>
          <w:szCs w:val="20"/>
        </w:rPr>
        <w:t xml:space="preserve"> </w:t>
      </w:r>
      <w:r w:rsidR="000E21FA">
        <w:rPr>
          <w:b/>
          <w:bCs/>
          <w:szCs w:val="20"/>
        </w:rPr>
        <w:tab/>
        <w:t>Journal Article</w:t>
      </w:r>
      <w:r w:rsidR="000E21FA">
        <w:rPr>
          <w:szCs w:val="20"/>
        </w:rPr>
        <w:t xml:space="preserve">: </w:t>
      </w:r>
      <w:r w:rsidR="009C2F18">
        <w:rPr>
          <w:szCs w:val="16"/>
        </w:rPr>
        <w:t>Nancey Murph</w:t>
      </w:r>
      <w:r w:rsidR="009C2F18" w:rsidRPr="009C2F18">
        <w:rPr>
          <w:szCs w:val="16"/>
        </w:rPr>
        <w:t>y, “Philosophical Resources for Postmodern Evangelical Theology,” in</w:t>
      </w:r>
      <w:r w:rsidR="009C2F18">
        <w:t xml:space="preserve"> </w:t>
      </w:r>
      <w:r w:rsidR="009C2F18" w:rsidRPr="009C2F18">
        <w:rPr>
          <w:i/>
          <w:iCs/>
          <w:szCs w:val="16"/>
        </w:rPr>
        <w:t>Christian Scholar’s Review</w:t>
      </w:r>
      <w:r w:rsidR="0034128D">
        <w:rPr>
          <w:szCs w:val="16"/>
        </w:rPr>
        <w:t>, 26.2 (</w:t>
      </w:r>
      <w:r w:rsidR="009C2F18" w:rsidRPr="009C2F18">
        <w:rPr>
          <w:szCs w:val="16"/>
        </w:rPr>
        <w:t>1996</w:t>
      </w:r>
      <w:r w:rsidR="0034128D">
        <w:rPr>
          <w:szCs w:val="16"/>
        </w:rPr>
        <w:t>)</w:t>
      </w:r>
      <w:r w:rsidR="009C2F18" w:rsidRPr="009C2F18">
        <w:rPr>
          <w:szCs w:val="16"/>
        </w:rPr>
        <w:t>, 205.</w:t>
      </w:r>
    </w:p>
    <w:p w14:paraId="26FAB574" w14:textId="77777777" w:rsidR="0089066C" w:rsidRPr="0089066C" w:rsidRDefault="003C0070" w:rsidP="0089066C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>vi</w:t>
      </w:r>
      <w:r w:rsidR="000E21FA">
        <w:rPr>
          <w:bCs/>
          <w:szCs w:val="20"/>
        </w:rPr>
        <w:t>.</w:t>
      </w:r>
      <w:r w:rsidR="000E21FA">
        <w:rPr>
          <w:b/>
          <w:bCs/>
          <w:szCs w:val="20"/>
        </w:rPr>
        <w:t xml:space="preserve"> </w:t>
      </w:r>
      <w:r w:rsidR="000E21FA">
        <w:rPr>
          <w:b/>
          <w:bCs/>
          <w:szCs w:val="20"/>
        </w:rPr>
        <w:tab/>
        <w:t xml:space="preserve">Manuscript: </w:t>
      </w:r>
      <w:r w:rsidR="0089066C" w:rsidRPr="00C37271">
        <w:t xml:space="preserve">Charles J. F. Gilmore, </w:t>
      </w:r>
      <w:r w:rsidR="0089066C">
        <w:t xml:space="preserve">MS </w:t>
      </w:r>
      <w:r w:rsidR="0089066C" w:rsidRPr="00C37271">
        <w:rPr>
          <w:i/>
        </w:rPr>
        <w:t>Royal Air Force Operations Record Book, Form 540, R.A.F. Chaplains</w:t>
      </w:r>
      <w:r w:rsidR="0089066C">
        <w:rPr>
          <w:i/>
        </w:rPr>
        <w:t>’</w:t>
      </w:r>
      <w:r w:rsidR="0089066C" w:rsidRPr="00C37271">
        <w:rPr>
          <w:i/>
        </w:rPr>
        <w:t xml:space="preserve"> School, Cambridge</w:t>
      </w:r>
      <w:r w:rsidR="0089066C" w:rsidRPr="00C37271">
        <w:t xml:space="preserve">, </w:t>
      </w:r>
      <w:r w:rsidR="0089066C">
        <w:t xml:space="preserve">AIR 29/752, </w:t>
      </w:r>
      <w:r w:rsidR="0089066C" w:rsidRPr="00C37271">
        <w:t>April 1944</w:t>
      </w:r>
      <w:r w:rsidR="0089066C">
        <w:t xml:space="preserve">, </w:t>
      </w:r>
      <w:r w:rsidR="0089066C" w:rsidRPr="00C37271">
        <w:t xml:space="preserve">National Archives, </w:t>
      </w:r>
      <w:r w:rsidR="0089066C">
        <w:t xml:space="preserve">Kew, 1.  </w:t>
      </w:r>
    </w:p>
    <w:p w14:paraId="7B0FE646" w14:textId="77777777" w:rsidR="00D017F9" w:rsidRDefault="003C0070" w:rsidP="007F252C">
      <w:pPr>
        <w:tabs>
          <w:tab w:val="left" w:pos="720"/>
        </w:tabs>
        <w:ind w:left="720" w:hanging="360"/>
        <w:rPr>
          <w:bCs/>
          <w:szCs w:val="20"/>
        </w:rPr>
      </w:pPr>
      <w:r>
        <w:rPr>
          <w:bCs/>
          <w:szCs w:val="20"/>
        </w:rPr>
        <w:t>vii</w:t>
      </w:r>
      <w:r w:rsidR="000E21FA">
        <w:rPr>
          <w:bCs/>
          <w:szCs w:val="20"/>
        </w:rPr>
        <w:t>.</w:t>
      </w:r>
      <w:r w:rsidR="000E21FA">
        <w:rPr>
          <w:bCs/>
          <w:szCs w:val="20"/>
        </w:rPr>
        <w:tab/>
      </w:r>
      <w:r w:rsidR="000E21FA">
        <w:rPr>
          <w:b/>
          <w:bCs/>
          <w:szCs w:val="20"/>
        </w:rPr>
        <w:t>Newspapers</w:t>
      </w:r>
      <w:r w:rsidR="000E21FA">
        <w:rPr>
          <w:bCs/>
          <w:szCs w:val="20"/>
        </w:rPr>
        <w:t xml:space="preserve">: </w:t>
      </w:r>
      <w:r w:rsidR="007F252C" w:rsidRPr="007F252C">
        <w:rPr>
          <w:bCs/>
          <w:szCs w:val="20"/>
        </w:rPr>
        <w:t>C. S. Lewis, “</w:t>
      </w:r>
      <w:r w:rsidR="007F252C">
        <w:rPr>
          <w:bCs/>
          <w:szCs w:val="20"/>
        </w:rPr>
        <w:t>Professor Tolkien’s Hobbit,”</w:t>
      </w:r>
      <w:r w:rsidR="007F252C">
        <w:rPr>
          <w:b/>
          <w:bCs/>
          <w:szCs w:val="20"/>
        </w:rPr>
        <w:t xml:space="preserve"> </w:t>
      </w:r>
      <w:r w:rsidR="007F252C" w:rsidRPr="007F252C">
        <w:rPr>
          <w:bCs/>
          <w:szCs w:val="20"/>
        </w:rPr>
        <w:t>Review of</w:t>
      </w:r>
      <w:r w:rsidR="007F252C">
        <w:rPr>
          <w:b/>
          <w:bCs/>
          <w:szCs w:val="20"/>
        </w:rPr>
        <w:t xml:space="preserve"> </w:t>
      </w:r>
      <w:r w:rsidR="007F252C">
        <w:rPr>
          <w:szCs w:val="20"/>
        </w:rPr>
        <w:t xml:space="preserve">J. R. R. Tolkien, </w:t>
      </w:r>
      <w:r w:rsidR="007F252C">
        <w:rPr>
          <w:i/>
          <w:szCs w:val="20"/>
        </w:rPr>
        <w:t>The Hobbit: or There and Back Again,</w:t>
      </w:r>
      <w:r w:rsidR="007F252C">
        <w:rPr>
          <w:szCs w:val="20"/>
        </w:rPr>
        <w:t xml:space="preserve"> in</w:t>
      </w:r>
      <w:r w:rsidR="007F252C">
        <w:rPr>
          <w:i/>
          <w:szCs w:val="20"/>
        </w:rPr>
        <w:t xml:space="preserve"> The Times</w:t>
      </w:r>
      <w:r w:rsidR="007F252C">
        <w:rPr>
          <w:szCs w:val="20"/>
        </w:rPr>
        <w:t>, 2 October 1937, 714.</w:t>
      </w:r>
    </w:p>
    <w:p w14:paraId="2C02020B" w14:textId="77777777" w:rsidR="00BD25C7" w:rsidRDefault="003C0070" w:rsidP="00BD25C7">
      <w:pPr>
        <w:pStyle w:val="FootnoteText"/>
        <w:ind w:left="720" w:hanging="360"/>
        <w:rPr>
          <w:sz w:val="24"/>
        </w:rPr>
      </w:pPr>
      <w:r>
        <w:rPr>
          <w:bCs/>
          <w:sz w:val="24"/>
        </w:rPr>
        <w:t>viii</w:t>
      </w:r>
      <w:r w:rsidR="000E21FA" w:rsidRPr="00BD25C7">
        <w:rPr>
          <w:bCs/>
          <w:sz w:val="24"/>
        </w:rPr>
        <w:t xml:space="preserve">. </w:t>
      </w:r>
      <w:r w:rsidR="00BD25C7" w:rsidRPr="00BD25C7">
        <w:rPr>
          <w:b/>
          <w:bCs/>
          <w:sz w:val="24"/>
        </w:rPr>
        <w:t>Chapters in Books</w:t>
      </w:r>
      <w:r w:rsidR="00BD25C7" w:rsidRPr="00BD25C7">
        <w:rPr>
          <w:bCs/>
          <w:sz w:val="24"/>
        </w:rPr>
        <w:t xml:space="preserve">: </w:t>
      </w:r>
      <w:r w:rsidR="00BD25C7" w:rsidRPr="00BD25C7">
        <w:rPr>
          <w:sz w:val="24"/>
        </w:rPr>
        <w:t xml:space="preserve">Charles Gilmore, “To the RAF,” in </w:t>
      </w:r>
      <w:r w:rsidR="00BD25C7" w:rsidRPr="00BD25C7">
        <w:rPr>
          <w:i/>
          <w:sz w:val="24"/>
        </w:rPr>
        <w:t>C. S. Lewis at the Breakfast Table</w:t>
      </w:r>
      <w:r w:rsidR="000C48E1">
        <w:rPr>
          <w:sz w:val="24"/>
        </w:rPr>
        <w:t>, ed. by James T. Como</w:t>
      </w:r>
      <w:r w:rsidR="00BD25C7" w:rsidRPr="00BD25C7">
        <w:rPr>
          <w:sz w:val="24"/>
        </w:rPr>
        <w:t xml:space="preserve"> (New York</w:t>
      </w:r>
      <w:r w:rsidR="00AE73BA">
        <w:rPr>
          <w:sz w:val="24"/>
        </w:rPr>
        <w:t>: Macmillan</w:t>
      </w:r>
      <w:r w:rsidR="00BD25C7" w:rsidRPr="00BD25C7">
        <w:rPr>
          <w:sz w:val="24"/>
        </w:rPr>
        <w:t>, 1979), 188.</w:t>
      </w:r>
    </w:p>
    <w:p w14:paraId="64152826" w14:textId="09CBF3EF" w:rsidR="00183B9B" w:rsidRPr="00BD25C7" w:rsidRDefault="000C48E1" w:rsidP="00BD25C7">
      <w:pPr>
        <w:pStyle w:val="FootnoteText"/>
        <w:ind w:left="720" w:hanging="360"/>
        <w:rPr>
          <w:sz w:val="24"/>
        </w:rPr>
      </w:pPr>
      <w:r>
        <w:rPr>
          <w:sz w:val="24"/>
        </w:rPr>
        <w:t xml:space="preserve"> </w:t>
      </w:r>
      <w:r w:rsidR="003C0070">
        <w:rPr>
          <w:sz w:val="24"/>
        </w:rPr>
        <w:t>i</w:t>
      </w:r>
      <w:r w:rsidR="00183B9B">
        <w:rPr>
          <w:sz w:val="24"/>
        </w:rPr>
        <w:t xml:space="preserve">x. </w:t>
      </w:r>
      <w:r w:rsidR="00183B9B" w:rsidRPr="00183B9B">
        <w:rPr>
          <w:b/>
          <w:sz w:val="24"/>
        </w:rPr>
        <w:t xml:space="preserve">Essays </w:t>
      </w:r>
      <w:r w:rsidR="0034128D">
        <w:rPr>
          <w:b/>
          <w:sz w:val="24"/>
        </w:rPr>
        <w:t>by C. S. Lewis with</w:t>
      </w:r>
      <w:r w:rsidR="00183B9B" w:rsidRPr="00183B9B">
        <w:rPr>
          <w:b/>
          <w:sz w:val="24"/>
        </w:rPr>
        <w:t>in a Collection</w:t>
      </w:r>
      <w:r w:rsidR="00183B9B">
        <w:rPr>
          <w:sz w:val="24"/>
        </w:rPr>
        <w:t>:</w:t>
      </w:r>
      <w:r>
        <w:rPr>
          <w:sz w:val="24"/>
        </w:rPr>
        <w:t xml:space="preserve"> C. S. Lewis, “</w:t>
      </w:r>
      <w:r w:rsidRPr="004E4383">
        <w:rPr>
          <w:i/>
          <w:iCs/>
          <w:sz w:val="24"/>
        </w:rPr>
        <w:t xml:space="preserve">De </w:t>
      </w:r>
      <w:proofErr w:type="spellStart"/>
      <w:r w:rsidRPr="004E4383">
        <w:rPr>
          <w:i/>
          <w:iCs/>
          <w:sz w:val="24"/>
        </w:rPr>
        <w:t>Desc</w:t>
      </w:r>
      <w:r w:rsidR="009232EB" w:rsidRPr="004E4383">
        <w:rPr>
          <w:i/>
          <w:iCs/>
          <w:sz w:val="24"/>
        </w:rPr>
        <w:t>r</w:t>
      </w:r>
      <w:r w:rsidRPr="004E4383">
        <w:rPr>
          <w:i/>
          <w:iCs/>
          <w:sz w:val="24"/>
        </w:rPr>
        <w:t>iptione</w:t>
      </w:r>
      <w:proofErr w:type="spellEnd"/>
      <w:r w:rsidRPr="004E4383">
        <w:rPr>
          <w:i/>
          <w:iCs/>
          <w:sz w:val="24"/>
        </w:rPr>
        <w:t xml:space="preserve"> Temporum</w:t>
      </w:r>
      <w:r>
        <w:rPr>
          <w:sz w:val="24"/>
        </w:rPr>
        <w:t xml:space="preserve">,” in </w:t>
      </w:r>
      <w:r>
        <w:rPr>
          <w:i/>
          <w:sz w:val="24"/>
        </w:rPr>
        <w:t>Selected Literary Essays</w:t>
      </w:r>
      <w:r>
        <w:rPr>
          <w:sz w:val="24"/>
        </w:rPr>
        <w:t xml:space="preserve">, ed. by Walter Hooper (Cambridge: </w:t>
      </w:r>
      <w:r w:rsidR="00810D51">
        <w:rPr>
          <w:sz w:val="24"/>
        </w:rPr>
        <w:t xml:space="preserve">Cambridge </w:t>
      </w:r>
      <w:r w:rsidR="00810D51" w:rsidRPr="00E01F26">
        <w:rPr>
          <w:sz w:val="24"/>
          <w:szCs w:val="24"/>
          <w:shd w:val="clear" w:color="auto" w:fill="FFFFFF"/>
        </w:rPr>
        <w:t>University Press</w:t>
      </w:r>
      <w:r>
        <w:rPr>
          <w:sz w:val="24"/>
        </w:rPr>
        <w:t>, 2013), 1-14.</w:t>
      </w:r>
    </w:p>
    <w:p w14:paraId="1AB236F0" w14:textId="7308625A" w:rsidR="00D017F9" w:rsidRDefault="00BD25C7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 xml:space="preserve">x. </w:t>
      </w:r>
      <w:r w:rsidR="003C0070">
        <w:rPr>
          <w:bCs/>
          <w:szCs w:val="20"/>
        </w:rPr>
        <w:tab/>
      </w:r>
      <w:r w:rsidR="000E21FA">
        <w:rPr>
          <w:b/>
          <w:bCs/>
          <w:szCs w:val="20"/>
        </w:rPr>
        <w:t xml:space="preserve">Internet </w:t>
      </w:r>
      <w:r>
        <w:rPr>
          <w:b/>
          <w:bCs/>
          <w:szCs w:val="20"/>
        </w:rPr>
        <w:t>S</w:t>
      </w:r>
      <w:r w:rsidR="000E21FA">
        <w:rPr>
          <w:b/>
          <w:bCs/>
          <w:szCs w:val="20"/>
        </w:rPr>
        <w:t>ource</w:t>
      </w:r>
      <w:r w:rsidR="000E21FA">
        <w:rPr>
          <w:szCs w:val="20"/>
        </w:rPr>
        <w:t xml:space="preserve">: </w:t>
      </w:r>
      <w:r w:rsidR="000E21FA" w:rsidRPr="003F13F0">
        <w:rPr>
          <w:szCs w:val="20"/>
        </w:rPr>
        <w:t>www.narniaworld.com</w:t>
      </w:r>
    </w:p>
    <w:p w14:paraId="41F255B3" w14:textId="77777777" w:rsidR="00D017F9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>x</w:t>
      </w:r>
      <w:r w:rsidR="00183B9B">
        <w:rPr>
          <w:bCs/>
          <w:szCs w:val="20"/>
        </w:rPr>
        <w:t>i</w:t>
      </w:r>
      <w:r>
        <w:rPr>
          <w:bCs/>
          <w:szCs w:val="20"/>
        </w:rPr>
        <w:t>.</w:t>
      </w:r>
      <w:r w:rsidR="00BD25C7">
        <w:rPr>
          <w:bCs/>
          <w:szCs w:val="20"/>
        </w:rPr>
        <w:t xml:space="preserve"> </w:t>
      </w:r>
      <w:r w:rsidR="003C0070">
        <w:rPr>
          <w:bCs/>
          <w:szCs w:val="20"/>
        </w:rPr>
        <w:tab/>
      </w:r>
      <w:r>
        <w:rPr>
          <w:b/>
          <w:bCs/>
          <w:szCs w:val="20"/>
        </w:rPr>
        <w:t>Video/DVD</w:t>
      </w:r>
      <w:r>
        <w:rPr>
          <w:szCs w:val="20"/>
        </w:rPr>
        <w:t xml:space="preserve">: C. S. Lewis, </w:t>
      </w:r>
      <w:r>
        <w:rPr>
          <w:i/>
          <w:szCs w:val="20"/>
        </w:rPr>
        <w:t>The Chronicles of Narnia</w:t>
      </w:r>
      <w:r w:rsidR="008B02BD">
        <w:rPr>
          <w:szCs w:val="20"/>
        </w:rPr>
        <w:t>, DVD</w:t>
      </w:r>
      <w:r>
        <w:rPr>
          <w:szCs w:val="20"/>
        </w:rPr>
        <w:t xml:space="preserve"> </w:t>
      </w:r>
      <w:r w:rsidR="008B02BD">
        <w:rPr>
          <w:szCs w:val="20"/>
        </w:rPr>
        <w:t>(</w:t>
      </w:r>
      <w:r w:rsidR="001F4C2F">
        <w:rPr>
          <w:szCs w:val="20"/>
        </w:rPr>
        <w:t xml:space="preserve">London: </w:t>
      </w:r>
      <w:r>
        <w:rPr>
          <w:szCs w:val="20"/>
        </w:rPr>
        <w:t>BBC Productions, 1990</w:t>
      </w:r>
      <w:r w:rsidR="008B02BD">
        <w:rPr>
          <w:szCs w:val="20"/>
        </w:rPr>
        <w:t>)</w:t>
      </w:r>
      <w:r>
        <w:rPr>
          <w:szCs w:val="20"/>
        </w:rPr>
        <w:t xml:space="preserve">. </w:t>
      </w:r>
    </w:p>
    <w:p w14:paraId="08CE9CEE" w14:textId="77777777" w:rsidR="003C0070" w:rsidRDefault="003C0070" w:rsidP="003C0070">
      <w:pPr>
        <w:tabs>
          <w:tab w:val="left" w:pos="720"/>
        </w:tabs>
        <w:ind w:left="720" w:hanging="360"/>
        <w:rPr>
          <w:b/>
          <w:bCs/>
          <w:szCs w:val="20"/>
        </w:rPr>
      </w:pPr>
      <w:r>
        <w:rPr>
          <w:szCs w:val="20"/>
        </w:rPr>
        <w:t xml:space="preserve">xii. </w:t>
      </w:r>
      <w:r>
        <w:rPr>
          <w:b/>
          <w:bCs/>
          <w:szCs w:val="20"/>
        </w:rPr>
        <w:tab/>
        <w:t xml:space="preserve">Short-title form: </w:t>
      </w:r>
    </w:p>
    <w:p w14:paraId="79671553" w14:textId="7E7BA4CB" w:rsidR="003C0070" w:rsidRPr="003C0070" w:rsidRDefault="00503920" w:rsidP="003C0070">
      <w:pPr>
        <w:pStyle w:val="ListParagraph"/>
        <w:numPr>
          <w:ilvl w:val="0"/>
          <w:numId w:val="14"/>
        </w:numPr>
        <w:tabs>
          <w:tab w:val="left" w:pos="720"/>
        </w:tabs>
        <w:rPr>
          <w:b/>
          <w:bCs/>
          <w:szCs w:val="20"/>
        </w:rPr>
      </w:pPr>
      <w:proofErr w:type="spellStart"/>
      <w:r>
        <w:t>Kort</w:t>
      </w:r>
      <w:proofErr w:type="spellEnd"/>
      <w:r>
        <w:t xml:space="preserve">, </w:t>
      </w:r>
      <w:r w:rsidRPr="00810D51">
        <w:rPr>
          <w:i/>
        </w:rPr>
        <w:t>Reading C. S. Lewis</w:t>
      </w:r>
      <w:r w:rsidR="003C0070" w:rsidRPr="003C0070">
        <w:rPr>
          <w:szCs w:val="20"/>
        </w:rPr>
        <w:t xml:space="preserve">, </w:t>
      </w:r>
      <w:r>
        <w:rPr>
          <w:szCs w:val="20"/>
        </w:rPr>
        <w:t>166</w:t>
      </w:r>
      <w:r w:rsidR="003C0070" w:rsidRPr="003C0070">
        <w:rPr>
          <w:szCs w:val="20"/>
        </w:rPr>
        <w:t>.</w:t>
      </w:r>
    </w:p>
    <w:p w14:paraId="02A9FA35" w14:textId="5DD028AC" w:rsidR="003C0070" w:rsidRPr="00810D51" w:rsidRDefault="003C0070" w:rsidP="003C0070">
      <w:pPr>
        <w:pStyle w:val="ListParagraph"/>
        <w:numPr>
          <w:ilvl w:val="0"/>
          <w:numId w:val="14"/>
        </w:numPr>
        <w:tabs>
          <w:tab w:val="left" w:pos="720"/>
        </w:tabs>
        <w:rPr>
          <w:szCs w:val="20"/>
        </w:rPr>
      </w:pPr>
      <w:r w:rsidRPr="0034128D">
        <w:rPr>
          <w:bCs/>
          <w:szCs w:val="20"/>
        </w:rPr>
        <w:t>Letter of</w:t>
      </w:r>
      <w:r w:rsidRPr="0034128D">
        <w:rPr>
          <w:b/>
          <w:bCs/>
          <w:szCs w:val="20"/>
        </w:rPr>
        <w:t xml:space="preserve"> </w:t>
      </w:r>
      <w:r w:rsidRPr="0034128D">
        <w:rPr>
          <w:bCs/>
          <w:szCs w:val="20"/>
        </w:rPr>
        <w:t xml:space="preserve">26 August 1940, in Lewis, </w:t>
      </w:r>
      <w:r w:rsidR="002E1C8F">
        <w:rPr>
          <w:bCs/>
          <w:i/>
          <w:szCs w:val="20"/>
        </w:rPr>
        <w:t>CL</w:t>
      </w:r>
      <w:r w:rsidRPr="0034128D">
        <w:rPr>
          <w:bCs/>
          <w:szCs w:val="20"/>
        </w:rPr>
        <w:t>, 2:345.</w:t>
      </w:r>
      <w:r w:rsidRPr="0034128D">
        <w:rPr>
          <w:b/>
          <w:bCs/>
          <w:szCs w:val="20"/>
        </w:rPr>
        <w:t xml:space="preserve"> </w:t>
      </w:r>
    </w:p>
    <w:p w14:paraId="4DF069D7" w14:textId="77777777" w:rsidR="003C0070" w:rsidRPr="009232EB" w:rsidRDefault="003C0070" w:rsidP="003C0070">
      <w:pPr>
        <w:pStyle w:val="ListParagraph"/>
        <w:numPr>
          <w:ilvl w:val="0"/>
          <w:numId w:val="14"/>
        </w:numPr>
        <w:tabs>
          <w:tab w:val="left" w:pos="720"/>
        </w:tabs>
        <w:rPr>
          <w:b/>
          <w:bCs/>
          <w:szCs w:val="20"/>
        </w:rPr>
      </w:pPr>
      <w:r>
        <w:rPr>
          <w:szCs w:val="20"/>
        </w:rPr>
        <w:t xml:space="preserve">Entry of 17 May 1922, in Lewis, </w:t>
      </w:r>
      <w:r>
        <w:rPr>
          <w:i/>
          <w:iCs/>
          <w:color w:val="000000"/>
          <w:szCs w:val="20"/>
        </w:rPr>
        <w:t>All My Road</w:t>
      </w:r>
      <w:r>
        <w:rPr>
          <w:iCs/>
          <w:color w:val="000000"/>
          <w:szCs w:val="20"/>
        </w:rPr>
        <w:t>, 36</w:t>
      </w:r>
      <w:r w:rsidR="009232EB">
        <w:rPr>
          <w:iCs/>
          <w:color w:val="000000"/>
          <w:szCs w:val="20"/>
        </w:rPr>
        <w:t>.</w:t>
      </w:r>
    </w:p>
    <w:p w14:paraId="347FC682" w14:textId="0C3DA4A8" w:rsidR="009232EB" w:rsidRPr="00633B92" w:rsidRDefault="009232EB" w:rsidP="00633B92">
      <w:pPr>
        <w:pStyle w:val="ListParagraph"/>
        <w:numPr>
          <w:ilvl w:val="0"/>
          <w:numId w:val="14"/>
        </w:numPr>
        <w:tabs>
          <w:tab w:val="left" w:pos="720"/>
        </w:tabs>
        <w:rPr>
          <w:b/>
          <w:bCs/>
          <w:szCs w:val="20"/>
        </w:rPr>
      </w:pPr>
      <w:r>
        <w:rPr>
          <w:szCs w:val="16"/>
        </w:rPr>
        <w:t>Murph</w:t>
      </w:r>
      <w:r w:rsidRPr="009C2F18">
        <w:rPr>
          <w:szCs w:val="16"/>
        </w:rPr>
        <w:t>y, “Philosophical Resources</w:t>
      </w:r>
      <w:r>
        <w:rPr>
          <w:szCs w:val="16"/>
        </w:rPr>
        <w:t>,” 205.</w:t>
      </w:r>
    </w:p>
    <w:p w14:paraId="24EF3AAD" w14:textId="77777777" w:rsidR="00D017F9" w:rsidRPr="003C0070" w:rsidRDefault="003C0070" w:rsidP="003C0070">
      <w:pPr>
        <w:tabs>
          <w:tab w:val="left" w:pos="720"/>
        </w:tabs>
        <w:ind w:left="720" w:hanging="360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14:paraId="08AAC356" w14:textId="77777777" w:rsidR="00D017F9" w:rsidRDefault="00D53F67">
      <w:pPr>
        <w:pStyle w:val="Heading2"/>
        <w:numPr>
          <w:ilvl w:val="5"/>
          <w:numId w:val="1"/>
        </w:numPr>
        <w:tabs>
          <w:tab w:val="clear" w:pos="4860"/>
          <w:tab w:val="num" w:pos="0"/>
        </w:tabs>
        <w:ind w:left="0" w:hanging="360"/>
      </w:pPr>
      <w:r>
        <w:t>Bibliography</w:t>
      </w:r>
    </w:p>
    <w:p w14:paraId="1A146E78" w14:textId="77777777" w:rsidR="00D017F9" w:rsidRDefault="000E21FA">
      <w:pPr>
        <w:pStyle w:val="BodyTextIndent"/>
      </w:pPr>
      <w:r>
        <w:t xml:space="preserve">1. </w:t>
      </w:r>
      <w:r>
        <w:tab/>
        <w:t xml:space="preserve">A separate bibliography is not required. When submitting a work that is bibliographical in nature, however, the following guidelines should be followed. </w:t>
      </w:r>
    </w:p>
    <w:p w14:paraId="1CDEBC3A" w14:textId="77777777" w:rsidR="00D017F9" w:rsidRDefault="000E21FA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 xml:space="preserve">2. </w:t>
      </w:r>
      <w:r>
        <w:rPr>
          <w:szCs w:val="20"/>
        </w:rPr>
        <w:tab/>
        <w:t>List the last name (surname) followed by first (Christian) name of the author or editor, followed by a period/full stop, title (in italics), etc.</w:t>
      </w:r>
    </w:p>
    <w:p w14:paraId="27E7AD40" w14:textId="77777777" w:rsidR="00D017F9" w:rsidRDefault="000E21FA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 xml:space="preserve">3. </w:t>
      </w:r>
      <w:r>
        <w:rPr>
          <w:szCs w:val="20"/>
        </w:rPr>
        <w:tab/>
        <w:t>Include the place of publication</w:t>
      </w:r>
      <w:r w:rsidR="00AE73BA">
        <w:rPr>
          <w:szCs w:val="20"/>
        </w:rPr>
        <w:t xml:space="preserve">, </w:t>
      </w:r>
      <w:r>
        <w:rPr>
          <w:szCs w:val="20"/>
        </w:rPr>
        <w:t>publisher</w:t>
      </w:r>
      <w:r w:rsidR="00AE73BA">
        <w:rPr>
          <w:szCs w:val="20"/>
        </w:rPr>
        <w:t xml:space="preserve"> and date</w:t>
      </w:r>
      <w:r>
        <w:rPr>
          <w:szCs w:val="20"/>
        </w:rPr>
        <w:t xml:space="preserve">. </w:t>
      </w:r>
    </w:p>
    <w:p w14:paraId="7DEE4238" w14:textId="77777777" w:rsidR="00D017F9" w:rsidRDefault="000E21FA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 xml:space="preserve">4. </w:t>
      </w:r>
      <w:r>
        <w:rPr>
          <w:szCs w:val="20"/>
        </w:rPr>
        <w:tab/>
        <w:t xml:space="preserve">Use 10-point type and single space. Double space between entries. </w:t>
      </w:r>
    </w:p>
    <w:p w14:paraId="386F539B" w14:textId="77777777" w:rsidR="00D017F9" w:rsidRDefault="000E21FA">
      <w:pPr>
        <w:tabs>
          <w:tab w:val="left" w:pos="360"/>
        </w:tabs>
        <w:ind w:left="360" w:hanging="360"/>
        <w:rPr>
          <w:szCs w:val="20"/>
        </w:rPr>
      </w:pPr>
      <w:r>
        <w:rPr>
          <w:szCs w:val="20"/>
        </w:rPr>
        <w:t xml:space="preserve">5. </w:t>
      </w:r>
      <w:r>
        <w:rPr>
          <w:szCs w:val="20"/>
        </w:rPr>
        <w:tab/>
        <w:t xml:space="preserve">Examples: </w:t>
      </w:r>
    </w:p>
    <w:p w14:paraId="21E7457D" w14:textId="77777777" w:rsidR="00D017F9" w:rsidRDefault="000E21FA">
      <w:pPr>
        <w:tabs>
          <w:tab w:val="left" w:pos="720"/>
        </w:tabs>
        <w:ind w:left="720" w:hanging="360"/>
        <w:rPr>
          <w:szCs w:val="20"/>
        </w:rPr>
      </w:pP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. </w:t>
      </w:r>
      <w:r>
        <w:rPr>
          <w:szCs w:val="20"/>
        </w:rPr>
        <w:tab/>
      </w:r>
      <w:r>
        <w:rPr>
          <w:b/>
          <w:bCs/>
          <w:iCs/>
          <w:szCs w:val="20"/>
        </w:rPr>
        <w:t>Books:</w:t>
      </w:r>
      <w:r>
        <w:rPr>
          <w:b/>
          <w:bCs/>
          <w:i/>
          <w:iCs/>
          <w:szCs w:val="20"/>
        </w:rPr>
        <w:t xml:space="preserve"> </w:t>
      </w:r>
    </w:p>
    <w:p w14:paraId="74BC02E8" w14:textId="711322A1" w:rsidR="003749FD" w:rsidRPr="003749FD" w:rsidRDefault="000E21FA" w:rsidP="003749FD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Single author</w:t>
      </w:r>
      <w:r>
        <w:rPr>
          <w:szCs w:val="20"/>
        </w:rPr>
        <w:t xml:space="preserve">: </w:t>
      </w:r>
      <w:proofErr w:type="spellStart"/>
      <w:r w:rsidR="003749FD">
        <w:t>Kort</w:t>
      </w:r>
      <w:proofErr w:type="spellEnd"/>
      <w:r w:rsidR="003749FD">
        <w:t xml:space="preserve">, Wesley A. </w:t>
      </w:r>
      <w:r w:rsidR="003749FD" w:rsidRPr="003749FD">
        <w:rPr>
          <w:i/>
        </w:rPr>
        <w:t>Reading C. S. Lewis</w:t>
      </w:r>
      <w:r w:rsidR="003749FD">
        <w:t>:</w:t>
      </w:r>
      <w:r w:rsidR="003749FD" w:rsidRPr="003749FD">
        <w:rPr>
          <w:i/>
        </w:rPr>
        <w:t xml:space="preserve"> A Commentary</w:t>
      </w:r>
      <w:r w:rsidR="003749FD">
        <w:t>. New York: Oxford University Press, 2016.</w:t>
      </w:r>
    </w:p>
    <w:p w14:paraId="7C5C209E" w14:textId="2551CF25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Multiple authors</w:t>
      </w:r>
      <w:r>
        <w:rPr>
          <w:szCs w:val="20"/>
        </w:rPr>
        <w:t xml:space="preserve">: </w:t>
      </w:r>
      <w:bookmarkStart w:id="3" w:name="_Hlk44322015"/>
      <w:r w:rsidR="009B4E9E">
        <w:t>O’Hara, David and Matthew Dickerson.</w:t>
      </w:r>
      <w:r w:rsidR="009B4E9E" w:rsidRPr="007D376F">
        <w:t xml:space="preserve"> </w:t>
      </w:r>
      <w:r w:rsidR="009B4E9E">
        <w:rPr>
          <w:i/>
        </w:rPr>
        <w:t xml:space="preserve">Narnia and the Fields of Arbol: </w:t>
      </w:r>
      <w:r w:rsidR="009B4E9E" w:rsidRPr="00EB266E">
        <w:rPr>
          <w:i/>
        </w:rPr>
        <w:t>The Environmental Vision of C. S. Lewis</w:t>
      </w:r>
      <w:r w:rsidR="009B4E9E">
        <w:t xml:space="preserve">. Lexington, </w:t>
      </w:r>
      <w:r w:rsidR="002E1C8F">
        <w:t>KY</w:t>
      </w:r>
      <w:r w:rsidR="009B4E9E">
        <w:t xml:space="preserve">: </w:t>
      </w:r>
      <w:r w:rsidR="00E01F26" w:rsidRPr="00E01F26">
        <w:rPr>
          <w:shd w:val="clear" w:color="auto" w:fill="FFFFFF"/>
        </w:rPr>
        <w:t>University Press</w:t>
      </w:r>
      <w:r w:rsidR="00E01F26">
        <w:rPr>
          <w:shd w:val="clear" w:color="auto" w:fill="FFFFFF"/>
        </w:rPr>
        <w:t xml:space="preserve"> of Kentucky</w:t>
      </w:r>
      <w:r w:rsidR="009B4E9E">
        <w:t>, 2009</w:t>
      </w:r>
      <w:r>
        <w:rPr>
          <w:szCs w:val="20"/>
        </w:rPr>
        <w:t>.</w:t>
      </w:r>
    </w:p>
    <w:bookmarkEnd w:id="3"/>
    <w:p w14:paraId="755C4F52" w14:textId="77777777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Editor</w:t>
      </w:r>
      <w:r>
        <w:rPr>
          <w:szCs w:val="20"/>
        </w:rPr>
        <w:t xml:space="preserve">: </w:t>
      </w:r>
      <w:r w:rsidR="009B4E9E">
        <w:rPr>
          <w:szCs w:val="20"/>
        </w:rPr>
        <w:t xml:space="preserve">Graham, David, ed. </w:t>
      </w:r>
      <w:r w:rsidR="009B4E9E">
        <w:rPr>
          <w:i/>
          <w:szCs w:val="20"/>
        </w:rPr>
        <w:t>We Remember C. S. Lewis</w:t>
      </w:r>
      <w:r w:rsidR="009B4E9E">
        <w:rPr>
          <w:szCs w:val="20"/>
        </w:rPr>
        <w:t>. Nashville: Broadman and Holman, 2001</w:t>
      </w:r>
      <w:r>
        <w:rPr>
          <w:szCs w:val="20"/>
        </w:rPr>
        <w:t>.</w:t>
      </w:r>
    </w:p>
    <w:p w14:paraId="715BFBCA" w14:textId="59818CF8" w:rsidR="00D017F9" w:rsidRDefault="000E21FA">
      <w:pPr>
        <w:numPr>
          <w:ilvl w:val="1"/>
          <w:numId w:val="4"/>
        </w:numPr>
        <w:tabs>
          <w:tab w:val="left" w:pos="1080"/>
        </w:tabs>
        <w:ind w:left="1080"/>
        <w:rPr>
          <w:szCs w:val="20"/>
        </w:rPr>
      </w:pPr>
      <w:r>
        <w:rPr>
          <w:bCs/>
          <w:szCs w:val="20"/>
        </w:rPr>
        <w:t>Multiple editors</w:t>
      </w:r>
      <w:r>
        <w:rPr>
          <w:szCs w:val="20"/>
        </w:rPr>
        <w:t xml:space="preserve">: </w:t>
      </w:r>
      <w:bookmarkStart w:id="4" w:name="_Hlk44322051"/>
      <w:proofErr w:type="spellStart"/>
      <w:r w:rsidR="009B4E9E">
        <w:rPr>
          <w:szCs w:val="20"/>
        </w:rPr>
        <w:t>MacSwain</w:t>
      </w:r>
      <w:proofErr w:type="spellEnd"/>
      <w:r w:rsidR="009B4E9E">
        <w:rPr>
          <w:szCs w:val="20"/>
        </w:rPr>
        <w:t xml:space="preserve">, Robert and Michael Ward, eds. </w:t>
      </w:r>
      <w:r w:rsidR="009B4E9E">
        <w:rPr>
          <w:i/>
          <w:iCs/>
          <w:szCs w:val="20"/>
        </w:rPr>
        <w:t>The Cambridge Companion to C. S. Lewis</w:t>
      </w:r>
      <w:r w:rsidR="009B4E9E">
        <w:rPr>
          <w:szCs w:val="20"/>
        </w:rPr>
        <w:t xml:space="preserve">. Cambridge: </w:t>
      </w:r>
      <w:r w:rsidR="00E01F26" w:rsidRPr="00E01F26">
        <w:rPr>
          <w:shd w:val="clear" w:color="auto" w:fill="FFFFFF"/>
        </w:rPr>
        <w:t>University Press</w:t>
      </w:r>
      <w:r w:rsidR="009B4E9E">
        <w:rPr>
          <w:szCs w:val="20"/>
        </w:rPr>
        <w:t>, 2010</w:t>
      </w:r>
      <w:r>
        <w:rPr>
          <w:szCs w:val="20"/>
        </w:rPr>
        <w:t xml:space="preserve">. </w:t>
      </w:r>
      <w:bookmarkEnd w:id="4"/>
    </w:p>
    <w:p w14:paraId="70D77016" w14:textId="77777777" w:rsidR="00D017F9" w:rsidRDefault="000E21FA">
      <w:pPr>
        <w:tabs>
          <w:tab w:val="left" w:pos="720"/>
        </w:tabs>
        <w:ind w:left="720" w:hanging="360"/>
        <w:rPr>
          <w:bCs/>
          <w:szCs w:val="20"/>
        </w:rPr>
      </w:pPr>
      <w:r>
        <w:rPr>
          <w:bCs/>
          <w:iCs/>
          <w:szCs w:val="20"/>
        </w:rPr>
        <w:t xml:space="preserve">ii. </w:t>
      </w:r>
      <w:r>
        <w:rPr>
          <w:bCs/>
          <w:iCs/>
          <w:szCs w:val="20"/>
        </w:rPr>
        <w:tab/>
      </w:r>
      <w:r>
        <w:rPr>
          <w:b/>
          <w:bCs/>
          <w:szCs w:val="20"/>
        </w:rPr>
        <w:t>Letters</w:t>
      </w:r>
      <w:r>
        <w:rPr>
          <w:bCs/>
          <w:szCs w:val="20"/>
        </w:rPr>
        <w:t xml:space="preserve">: Lewis, C. S. </w:t>
      </w:r>
      <w:r>
        <w:rPr>
          <w:bCs/>
          <w:i/>
          <w:szCs w:val="20"/>
        </w:rPr>
        <w:t>The Collected Letters of C. S. Lewis</w:t>
      </w:r>
      <w:r>
        <w:rPr>
          <w:bCs/>
          <w:szCs w:val="20"/>
        </w:rPr>
        <w:t xml:space="preserve">, ed. by Walter Hooper, 3 vols., </w:t>
      </w:r>
      <w:r w:rsidR="009B4E9E">
        <w:rPr>
          <w:bCs/>
          <w:szCs w:val="20"/>
        </w:rPr>
        <w:t>San Francisco: HarperCollins, 2004-7</w:t>
      </w:r>
      <w:r>
        <w:rPr>
          <w:bCs/>
          <w:szCs w:val="20"/>
        </w:rPr>
        <w:t>.</w:t>
      </w:r>
    </w:p>
    <w:p w14:paraId="13F3F800" w14:textId="77777777" w:rsidR="00D017F9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 xml:space="preserve">iii. </w:t>
      </w:r>
      <w:r>
        <w:rPr>
          <w:bCs/>
          <w:szCs w:val="20"/>
        </w:rPr>
        <w:tab/>
      </w:r>
      <w:r>
        <w:rPr>
          <w:b/>
          <w:szCs w:val="20"/>
        </w:rPr>
        <w:t>Diary</w:t>
      </w:r>
      <w:r>
        <w:rPr>
          <w:szCs w:val="20"/>
        </w:rPr>
        <w:t xml:space="preserve">: Lewis, C. S. </w:t>
      </w:r>
      <w:r>
        <w:rPr>
          <w:i/>
          <w:iCs/>
          <w:color w:val="000000"/>
          <w:szCs w:val="20"/>
        </w:rPr>
        <w:t>All My Road Before Me: The Diary of C. S. Lewis; 1922-1927</w:t>
      </w:r>
      <w:r>
        <w:rPr>
          <w:color w:val="000000"/>
          <w:szCs w:val="20"/>
        </w:rPr>
        <w:t>, ed. by Walter Hooper</w:t>
      </w:r>
      <w:r w:rsidR="009B4E9E">
        <w:rPr>
          <w:color w:val="000000"/>
          <w:szCs w:val="20"/>
        </w:rPr>
        <w:t xml:space="preserve">. San Diego: </w:t>
      </w:r>
      <w:r w:rsidR="009B4E9E" w:rsidRPr="00D75D84">
        <w:rPr>
          <w:rFonts w:eastAsia="Arial Unicode MS"/>
          <w:color w:val="000000"/>
          <w:shd w:val="clear" w:color="auto" w:fill="FFFFFF"/>
        </w:rPr>
        <w:t>Harcourt Brace Jovanovich</w:t>
      </w:r>
      <w:r w:rsidR="009B4E9E" w:rsidRPr="00D75D84">
        <w:rPr>
          <w:color w:val="000000"/>
        </w:rPr>
        <w:t>,</w:t>
      </w:r>
      <w:r w:rsidR="009B4E9E">
        <w:rPr>
          <w:color w:val="000000"/>
          <w:szCs w:val="20"/>
        </w:rPr>
        <w:t xml:space="preserve"> 1991</w:t>
      </w:r>
      <w:r>
        <w:rPr>
          <w:szCs w:val="20"/>
        </w:rPr>
        <w:t>.</w:t>
      </w:r>
    </w:p>
    <w:p w14:paraId="117DE328" w14:textId="72362B46" w:rsidR="00D017F9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>iv.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  <w:t>Multi-volume work</w:t>
      </w:r>
      <w:r>
        <w:rPr>
          <w:szCs w:val="20"/>
        </w:rPr>
        <w:t xml:space="preserve">: </w:t>
      </w:r>
      <w:r w:rsidR="002B078E">
        <w:rPr>
          <w:szCs w:val="20"/>
        </w:rPr>
        <w:t>Brazier</w:t>
      </w:r>
      <w:r w:rsidR="002B078E">
        <w:t>,</w:t>
      </w:r>
      <w:r w:rsidR="002B078E" w:rsidRPr="009C74F3">
        <w:t xml:space="preserve"> </w:t>
      </w:r>
      <w:r w:rsidR="002B078E">
        <w:rPr>
          <w:szCs w:val="20"/>
        </w:rPr>
        <w:t xml:space="preserve">Paul. </w:t>
      </w:r>
      <w:r w:rsidR="002B078E" w:rsidRPr="009C74F3">
        <w:rPr>
          <w:i/>
          <w:iCs/>
          <w:shd w:val="clear" w:color="auto" w:fill="FFFFFF"/>
        </w:rPr>
        <w:t>C. S. Lewis</w:t>
      </w:r>
      <w:r w:rsidR="002B078E">
        <w:rPr>
          <w:i/>
          <w:iCs/>
          <w:shd w:val="clear" w:color="auto" w:fill="FFFFFF"/>
        </w:rPr>
        <w:t>: Revelation and the Christ</w:t>
      </w:r>
      <w:r w:rsidR="002B078E">
        <w:rPr>
          <w:iCs/>
          <w:shd w:val="clear" w:color="auto" w:fill="FFFFFF"/>
        </w:rPr>
        <w:t xml:space="preserve">. </w:t>
      </w:r>
      <w:r w:rsidR="002B078E" w:rsidRPr="00AE73BA">
        <w:rPr>
          <w:iCs/>
          <w:shd w:val="clear" w:color="auto" w:fill="FFFFFF"/>
        </w:rPr>
        <w:t xml:space="preserve">Eugene, </w:t>
      </w:r>
      <w:r w:rsidR="002E1C8F">
        <w:rPr>
          <w:iCs/>
          <w:shd w:val="clear" w:color="auto" w:fill="FFFFFF"/>
        </w:rPr>
        <w:t>OR</w:t>
      </w:r>
      <w:r w:rsidR="002B078E" w:rsidRPr="00AE73BA">
        <w:rPr>
          <w:iCs/>
          <w:shd w:val="clear" w:color="auto" w:fill="FFFFFF"/>
        </w:rPr>
        <w:t>: Wipf and Stock, 2012-14</w:t>
      </w:r>
      <w:r>
        <w:rPr>
          <w:szCs w:val="20"/>
        </w:rPr>
        <w:t>.</w:t>
      </w:r>
    </w:p>
    <w:p w14:paraId="25803021" w14:textId="77777777" w:rsidR="00D017F9" w:rsidRPr="00271FED" w:rsidRDefault="000E21FA" w:rsidP="00271FED">
      <w:pPr>
        <w:tabs>
          <w:tab w:val="left" w:pos="720"/>
        </w:tabs>
        <w:ind w:left="720" w:hanging="360"/>
      </w:pPr>
      <w:r>
        <w:rPr>
          <w:szCs w:val="20"/>
        </w:rPr>
        <w:t xml:space="preserve">v. </w:t>
      </w:r>
      <w:r>
        <w:rPr>
          <w:szCs w:val="20"/>
        </w:rPr>
        <w:tab/>
      </w:r>
      <w:r>
        <w:rPr>
          <w:b/>
          <w:bCs/>
          <w:szCs w:val="20"/>
        </w:rPr>
        <w:t>Journal Article</w:t>
      </w:r>
      <w:r>
        <w:rPr>
          <w:szCs w:val="20"/>
        </w:rPr>
        <w:t xml:space="preserve">: </w:t>
      </w:r>
      <w:r w:rsidR="009C2F18">
        <w:rPr>
          <w:szCs w:val="16"/>
        </w:rPr>
        <w:t>Murph</w:t>
      </w:r>
      <w:r w:rsidR="009C2F18" w:rsidRPr="009C2F18">
        <w:rPr>
          <w:szCs w:val="16"/>
        </w:rPr>
        <w:t xml:space="preserve">y, </w:t>
      </w:r>
      <w:r w:rsidR="009C2F18">
        <w:rPr>
          <w:szCs w:val="16"/>
        </w:rPr>
        <w:t xml:space="preserve">Nancey. </w:t>
      </w:r>
      <w:r w:rsidR="009C2F18" w:rsidRPr="009C2F18">
        <w:rPr>
          <w:szCs w:val="16"/>
        </w:rPr>
        <w:t xml:space="preserve">“Philosophical Resources for </w:t>
      </w:r>
      <w:r w:rsidR="009C2F18">
        <w:rPr>
          <w:szCs w:val="16"/>
        </w:rPr>
        <w:t xml:space="preserve">Postmodern Evangelical Theology.” </w:t>
      </w:r>
      <w:r w:rsidR="009C2F18" w:rsidRPr="009C2F18">
        <w:rPr>
          <w:i/>
          <w:iCs/>
          <w:szCs w:val="16"/>
        </w:rPr>
        <w:t>Christian Scholar’s Review</w:t>
      </w:r>
      <w:r w:rsidR="004468D8">
        <w:rPr>
          <w:szCs w:val="16"/>
        </w:rPr>
        <w:t xml:space="preserve">, 26.2, </w:t>
      </w:r>
      <w:r w:rsidR="009C2F18" w:rsidRPr="009C2F18">
        <w:rPr>
          <w:szCs w:val="16"/>
        </w:rPr>
        <w:t xml:space="preserve">1996, </w:t>
      </w:r>
      <w:r w:rsidR="0089066C">
        <w:rPr>
          <w:szCs w:val="16"/>
        </w:rPr>
        <w:t>184-</w:t>
      </w:r>
      <w:r w:rsidR="009C2F18" w:rsidRPr="009C2F18">
        <w:rPr>
          <w:szCs w:val="16"/>
        </w:rPr>
        <w:t>205.</w:t>
      </w:r>
    </w:p>
    <w:p w14:paraId="41C3171D" w14:textId="2F42DC03" w:rsidR="0089066C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 xml:space="preserve">vi. </w:t>
      </w:r>
      <w:r>
        <w:rPr>
          <w:szCs w:val="20"/>
        </w:rPr>
        <w:tab/>
      </w:r>
      <w:r>
        <w:rPr>
          <w:b/>
          <w:bCs/>
          <w:szCs w:val="20"/>
        </w:rPr>
        <w:t xml:space="preserve">Manuscript: </w:t>
      </w:r>
      <w:r w:rsidR="0089066C" w:rsidRPr="00C37271">
        <w:t xml:space="preserve">Gilmore, Charles J. F. </w:t>
      </w:r>
      <w:r w:rsidR="0089066C">
        <w:t xml:space="preserve">MS </w:t>
      </w:r>
      <w:r w:rsidR="0089066C" w:rsidRPr="00C37271">
        <w:rPr>
          <w:i/>
        </w:rPr>
        <w:t>Royal Air Force Operations Record Book, Form 540, R.A.F. Chaplains</w:t>
      </w:r>
      <w:r w:rsidR="0089066C">
        <w:rPr>
          <w:i/>
        </w:rPr>
        <w:t>’</w:t>
      </w:r>
      <w:r w:rsidR="0089066C" w:rsidRPr="00C37271">
        <w:rPr>
          <w:i/>
        </w:rPr>
        <w:t xml:space="preserve"> School, Cambridge</w:t>
      </w:r>
      <w:r w:rsidR="0089066C" w:rsidRPr="00C37271">
        <w:t xml:space="preserve">, </w:t>
      </w:r>
      <w:r w:rsidR="0089066C">
        <w:t xml:space="preserve">AIR 29/752, </w:t>
      </w:r>
      <w:r w:rsidR="0089066C" w:rsidRPr="00C37271">
        <w:t>April 1944</w:t>
      </w:r>
      <w:r w:rsidR="0089066C">
        <w:t xml:space="preserve">. </w:t>
      </w:r>
      <w:r w:rsidR="0089066C" w:rsidRPr="00C37271">
        <w:t xml:space="preserve">National Archives, </w:t>
      </w:r>
      <w:r w:rsidR="0089066C">
        <w:t>Kew</w:t>
      </w:r>
      <w:r w:rsidR="002E1C8F">
        <w:t>.</w:t>
      </w:r>
      <w:r w:rsidR="0089066C">
        <w:t xml:space="preserve">  </w:t>
      </w:r>
    </w:p>
    <w:p w14:paraId="745A850E" w14:textId="77777777" w:rsidR="00D017F9" w:rsidRDefault="000E21FA" w:rsidP="007F252C">
      <w:pPr>
        <w:tabs>
          <w:tab w:val="left" w:pos="720"/>
        </w:tabs>
        <w:ind w:left="720" w:hanging="360"/>
        <w:rPr>
          <w:bCs/>
          <w:szCs w:val="20"/>
        </w:rPr>
      </w:pPr>
      <w:r>
        <w:rPr>
          <w:bCs/>
          <w:szCs w:val="20"/>
        </w:rPr>
        <w:lastRenderedPageBreak/>
        <w:t>vii.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  <w:t xml:space="preserve">Newspapers: </w:t>
      </w:r>
      <w:r w:rsidR="007F252C" w:rsidRPr="007F252C">
        <w:rPr>
          <w:bCs/>
          <w:szCs w:val="20"/>
        </w:rPr>
        <w:t>Lewis, C. S. “</w:t>
      </w:r>
      <w:r w:rsidR="007F252C">
        <w:rPr>
          <w:bCs/>
          <w:szCs w:val="20"/>
        </w:rPr>
        <w:t>Professor Tolkien’s Hobbit,”</w:t>
      </w:r>
      <w:r w:rsidR="007F252C">
        <w:rPr>
          <w:b/>
          <w:bCs/>
          <w:szCs w:val="20"/>
        </w:rPr>
        <w:t xml:space="preserve"> </w:t>
      </w:r>
      <w:r w:rsidR="007F252C" w:rsidRPr="007F252C">
        <w:rPr>
          <w:bCs/>
          <w:szCs w:val="20"/>
        </w:rPr>
        <w:t>Review of</w:t>
      </w:r>
      <w:r w:rsidR="007F252C">
        <w:rPr>
          <w:b/>
          <w:bCs/>
          <w:szCs w:val="20"/>
        </w:rPr>
        <w:t xml:space="preserve"> </w:t>
      </w:r>
      <w:r w:rsidR="007F252C">
        <w:rPr>
          <w:szCs w:val="20"/>
        </w:rPr>
        <w:t xml:space="preserve">J. R. R. Tolkien, </w:t>
      </w:r>
      <w:r w:rsidR="007F252C">
        <w:rPr>
          <w:i/>
          <w:szCs w:val="20"/>
        </w:rPr>
        <w:t>The Hobbit: or There and Back Again,” The Times</w:t>
      </w:r>
      <w:r w:rsidR="007F252C">
        <w:rPr>
          <w:szCs w:val="20"/>
        </w:rPr>
        <w:t>, 2 October 1937, 714.</w:t>
      </w:r>
    </w:p>
    <w:p w14:paraId="4FAF5BE7" w14:textId="7E70B1FA" w:rsidR="00D017F9" w:rsidRDefault="000E21FA">
      <w:pPr>
        <w:tabs>
          <w:tab w:val="left" w:pos="720"/>
        </w:tabs>
        <w:ind w:left="720" w:hanging="360"/>
        <w:rPr>
          <w:szCs w:val="20"/>
        </w:rPr>
      </w:pPr>
      <w:r>
        <w:rPr>
          <w:bCs/>
          <w:szCs w:val="20"/>
        </w:rPr>
        <w:t>viii.</w:t>
      </w:r>
      <w:r>
        <w:rPr>
          <w:b/>
          <w:bCs/>
          <w:szCs w:val="20"/>
        </w:rPr>
        <w:tab/>
        <w:t>Internet source</w:t>
      </w:r>
      <w:r>
        <w:rPr>
          <w:szCs w:val="20"/>
        </w:rPr>
        <w:t xml:space="preserve">: </w:t>
      </w:r>
      <w:r w:rsidRPr="003F13F0">
        <w:rPr>
          <w:szCs w:val="20"/>
        </w:rPr>
        <w:t>www.narniaworld.com</w:t>
      </w:r>
    </w:p>
    <w:p w14:paraId="727117D6" w14:textId="74E1917B" w:rsidR="00D017F9" w:rsidRDefault="000E21FA" w:rsidP="00F03659">
      <w:pPr>
        <w:tabs>
          <w:tab w:val="left" w:pos="720"/>
        </w:tabs>
        <w:ind w:left="720" w:hanging="360"/>
        <w:rPr>
          <w:szCs w:val="20"/>
        </w:rPr>
      </w:pPr>
      <w:r>
        <w:rPr>
          <w:szCs w:val="20"/>
        </w:rPr>
        <w:t xml:space="preserve">ix. </w:t>
      </w:r>
      <w:r>
        <w:rPr>
          <w:szCs w:val="20"/>
        </w:rPr>
        <w:tab/>
      </w:r>
      <w:r>
        <w:rPr>
          <w:b/>
          <w:bCs/>
          <w:szCs w:val="20"/>
        </w:rPr>
        <w:t>DVD/Video</w:t>
      </w:r>
      <w:r>
        <w:rPr>
          <w:szCs w:val="20"/>
        </w:rPr>
        <w:t xml:space="preserve">: Lewis, C. S. </w:t>
      </w:r>
      <w:r>
        <w:rPr>
          <w:i/>
          <w:szCs w:val="20"/>
        </w:rPr>
        <w:t>The Chronicles of Narnia</w:t>
      </w:r>
      <w:r w:rsidR="004468D8">
        <w:rPr>
          <w:szCs w:val="20"/>
        </w:rPr>
        <w:t>. DVD.</w:t>
      </w:r>
      <w:r>
        <w:rPr>
          <w:szCs w:val="20"/>
        </w:rPr>
        <w:t xml:space="preserve"> </w:t>
      </w:r>
      <w:r w:rsidR="004468D8">
        <w:rPr>
          <w:szCs w:val="20"/>
        </w:rPr>
        <w:t xml:space="preserve">London: </w:t>
      </w:r>
      <w:r>
        <w:rPr>
          <w:szCs w:val="20"/>
        </w:rPr>
        <w:t xml:space="preserve">BBC Production, 1990. </w:t>
      </w:r>
    </w:p>
    <w:p w14:paraId="0C9718AB" w14:textId="77777777" w:rsidR="00F03659" w:rsidRDefault="00F03659" w:rsidP="00F03659">
      <w:pPr>
        <w:tabs>
          <w:tab w:val="left" w:pos="720"/>
        </w:tabs>
        <w:rPr>
          <w:szCs w:val="20"/>
        </w:rPr>
      </w:pPr>
    </w:p>
    <w:p w14:paraId="77AC6200" w14:textId="50D1B4D9" w:rsidR="00D017F9" w:rsidRDefault="000E21FA">
      <w:pPr>
        <w:tabs>
          <w:tab w:val="left" w:pos="0"/>
        </w:tabs>
        <w:ind w:hanging="360"/>
        <w:rPr>
          <w:szCs w:val="20"/>
        </w:rPr>
      </w:pPr>
      <w:r>
        <w:rPr>
          <w:b/>
        </w:rPr>
        <w:t xml:space="preserve">V. </w:t>
      </w:r>
      <w:r>
        <w:rPr>
          <w:b/>
        </w:rPr>
        <w:tab/>
        <w:t>Book Reviews</w:t>
      </w:r>
      <w:r w:rsidR="00FE387E">
        <w:rPr>
          <w:b/>
        </w:rPr>
        <w:t>/</w:t>
      </w:r>
      <w:r w:rsidR="00F91E5C">
        <w:rPr>
          <w:b/>
        </w:rPr>
        <w:t>Theater</w:t>
      </w:r>
      <w:r w:rsidR="00FE387E">
        <w:rPr>
          <w:b/>
        </w:rPr>
        <w:t xml:space="preserve"> and Play Reviews</w:t>
      </w:r>
    </w:p>
    <w:p w14:paraId="2B38A48B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>A book review should not attempt to summarize the content of the volume under review. Instead, it should aim to identify a book’s principal argument(s) and its anticipated readership; evaluate its use of sources (both primary and secondary); situate the work in its field of scholarship (including the broad trends, biases, and assumptions of that field); and assess its overall contribution, including contemporary relevance.</w:t>
      </w:r>
    </w:p>
    <w:p w14:paraId="370D3CCB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 xml:space="preserve">Although book reviews in </w:t>
      </w:r>
      <w:r>
        <w:rPr>
          <w:i/>
          <w:iCs/>
          <w:szCs w:val="20"/>
        </w:rPr>
        <w:t xml:space="preserve">Sehnsucht </w:t>
      </w:r>
      <w:r>
        <w:rPr>
          <w:szCs w:val="20"/>
        </w:rPr>
        <w:t xml:space="preserve">aim to be scholarly, clarity is more important than intellectual posturing. Attention should be paid to simplicity of syntax and precision of meaning. A straight-forward recommendation or censure of the volume under review is encouraged. </w:t>
      </w:r>
    </w:p>
    <w:p w14:paraId="11E1F87D" w14:textId="77777777" w:rsidR="00D017F9" w:rsidRDefault="000E21FA" w:rsidP="00385632">
      <w:pPr>
        <w:numPr>
          <w:ilvl w:val="1"/>
          <w:numId w:val="12"/>
        </w:numPr>
        <w:tabs>
          <w:tab w:val="left" w:pos="360"/>
        </w:tabs>
        <w:rPr>
          <w:szCs w:val="20"/>
        </w:rPr>
      </w:pPr>
      <w:r>
        <w:rPr>
          <w:szCs w:val="20"/>
        </w:rPr>
        <w:t>The length of a review is between 500 and 1000 words, except in exceptional circumstances when the quality or importance of a volume justifies a lengthier review. If it is anticipated that a review is to exceed this length, prior consultation with the Review Editor (</w:t>
      </w:r>
      <w:r w:rsidR="00385632" w:rsidRPr="00385632">
        <w:rPr>
          <w:szCs w:val="20"/>
        </w:rPr>
        <w:t>thatlewislady@gmail.com</w:t>
      </w:r>
      <w:r>
        <w:rPr>
          <w:szCs w:val="20"/>
        </w:rPr>
        <w:t xml:space="preserve">) is essential. </w:t>
      </w:r>
    </w:p>
    <w:p w14:paraId="2506847D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>Volumes of particular importance or interest may be allowed greater consideration. In some cases, the Book Review Editor will assign a work to be covered in a Review Essay, which may run up to 5,000 words in length.</w:t>
      </w:r>
    </w:p>
    <w:p w14:paraId="06158847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 xml:space="preserve">Reviews should begin (written in single space) with author’s/editor’s name(s), full title, place and date of publication (in parenthesis), the number of pages, the price (in US dollars), and the 13-digit ISBN (omitting the hyphens). </w:t>
      </w:r>
    </w:p>
    <w:p w14:paraId="0319CF9B" w14:textId="7291A849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 xml:space="preserve">The number of pages should include the preface (in Roman numerals), index, appendices, notes, and index. The inclusion of graphs and illustrations (if any) should also be noted. Example: </w:t>
      </w:r>
      <w:r>
        <w:rPr>
          <w:bCs/>
          <w:szCs w:val="20"/>
        </w:rPr>
        <w:t>Michael Ward,</w:t>
      </w:r>
      <w:r>
        <w:rPr>
          <w:bCs/>
          <w:i/>
          <w:szCs w:val="20"/>
        </w:rPr>
        <w:t xml:space="preserve"> The Narnia Code: C. S. Lewis and the Secret of the Seven Heavens</w:t>
      </w:r>
      <w:r>
        <w:rPr>
          <w:b/>
          <w:bCs/>
          <w:i/>
          <w:szCs w:val="20"/>
        </w:rPr>
        <w:t xml:space="preserve"> </w:t>
      </w:r>
      <w:r w:rsidR="002B078E">
        <w:rPr>
          <w:szCs w:val="20"/>
        </w:rPr>
        <w:t xml:space="preserve">(Carol Stream, </w:t>
      </w:r>
      <w:r w:rsidR="00F91E5C">
        <w:rPr>
          <w:szCs w:val="20"/>
        </w:rPr>
        <w:t>IL</w:t>
      </w:r>
      <w:r w:rsidR="002B078E">
        <w:rPr>
          <w:szCs w:val="20"/>
        </w:rPr>
        <w:t>: Tyndale House,</w:t>
      </w:r>
      <w:r>
        <w:rPr>
          <w:szCs w:val="20"/>
        </w:rPr>
        <w:t xml:space="preserve"> 2010). 193 pages, including “For Further Reading” and Discussion Guide. $13.99. ISBN 9781414339658.</w:t>
      </w:r>
    </w:p>
    <w:p w14:paraId="103E2F8C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>The body of the review should be typed, double-spaced, and in conformity to the style guidelines outlined above.</w:t>
      </w:r>
    </w:p>
    <w:p w14:paraId="3CB2D738" w14:textId="77777777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>All quotations and direct references must be followed by the page number (in parenthesis) o</w:t>
      </w:r>
      <w:r w:rsidR="007F252C">
        <w:rPr>
          <w:szCs w:val="20"/>
        </w:rPr>
        <w:t>f the text in which they appear and preceding punctuation marks.</w:t>
      </w:r>
      <w:r w:rsidR="005C6FA2">
        <w:rPr>
          <w:szCs w:val="20"/>
        </w:rPr>
        <w:t xml:space="preserve"> The exception is i</w:t>
      </w:r>
      <w:r w:rsidR="007F252C">
        <w:rPr>
          <w:szCs w:val="20"/>
        </w:rPr>
        <w:t>n inden</w:t>
      </w:r>
      <w:r w:rsidR="005C6FA2">
        <w:rPr>
          <w:szCs w:val="20"/>
        </w:rPr>
        <w:t>ted, long quotations where the page number (in parenthesis) follows the ending period.</w:t>
      </w:r>
    </w:p>
    <w:p w14:paraId="33F74328" w14:textId="67B8DB15" w:rsidR="00D017F9" w:rsidRDefault="000E21FA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 xml:space="preserve">The name of the author of the review, together with his/her place of academic affiliation (or residence) should be provided at the end of the review, written in single space on the left margin. </w:t>
      </w:r>
    </w:p>
    <w:p w14:paraId="63F45644" w14:textId="77777777" w:rsidR="002E1C8F" w:rsidRDefault="002E1C8F" w:rsidP="002E1C8F">
      <w:pPr>
        <w:numPr>
          <w:ilvl w:val="1"/>
          <w:numId w:val="12"/>
        </w:numPr>
        <w:tabs>
          <w:tab w:val="clear" w:pos="1080"/>
          <w:tab w:val="left" w:pos="360"/>
        </w:tabs>
        <w:ind w:left="360"/>
        <w:rPr>
          <w:szCs w:val="20"/>
        </w:rPr>
      </w:pPr>
      <w:r>
        <w:rPr>
          <w:szCs w:val="20"/>
        </w:rPr>
        <w:t>Examples:</w:t>
      </w:r>
    </w:p>
    <w:p w14:paraId="08FF8B94" w14:textId="2E5EDB66" w:rsidR="00D44EA3" w:rsidRPr="00D44EA3" w:rsidRDefault="00266106" w:rsidP="00D44EA3">
      <w:pPr>
        <w:tabs>
          <w:tab w:val="left" w:pos="720"/>
        </w:tabs>
        <w:ind w:left="720" w:hanging="360"/>
        <w:rPr>
          <w:szCs w:val="20"/>
        </w:rPr>
      </w:pP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. </w:t>
      </w:r>
      <w:r>
        <w:rPr>
          <w:szCs w:val="20"/>
        </w:rPr>
        <w:tab/>
      </w:r>
      <w:r>
        <w:rPr>
          <w:b/>
          <w:bCs/>
          <w:iCs/>
          <w:szCs w:val="20"/>
        </w:rPr>
        <w:t>Book</w:t>
      </w:r>
      <w:r w:rsidR="00D44EA3">
        <w:rPr>
          <w:b/>
          <w:bCs/>
          <w:iCs/>
          <w:szCs w:val="20"/>
        </w:rPr>
        <w:t xml:space="preserve"> Review</w:t>
      </w:r>
      <w:r>
        <w:rPr>
          <w:b/>
          <w:bCs/>
          <w:iCs/>
          <w:szCs w:val="20"/>
        </w:rPr>
        <w:t>:</w:t>
      </w:r>
      <w:r>
        <w:rPr>
          <w:b/>
          <w:bCs/>
          <w:i/>
          <w:iCs/>
          <w:szCs w:val="20"/>
        </w:rPr>
        <w:t xml:space="preserve"> </w:t>
      </w:r>
      <w:bookmarkStart w:id="5" w:name="_Hlk44324124"/>
      <w:r w:rsidR="00D44EA3" w:rsidRPr="00D44EA3">
        <w:rPr>
          <w:color w:val="000000"/>
        </w:rPr>
        <w:t xml:space="preserve">Janice Brown, </w:t>
      </w:r>
      <w:r w:rsidR="00D44EA3" w:rsidRPr="00D44EA3">
        <w:rPr>
          <w:i/>
          <w:color w:val="000000"/>
        </w:rPr>
        <w:t>The Lion in the Waste Land: Fearsome Redemption in the Work of C. S. Lewis, Dorothy L. Sayers, and T. S. Eliot</w:t>
      </w:r>
      <w:r w:rsidR="00D44EA3" w:rsidRPr="00D44EA3">
        <w:rPr>
          <w:color w:val="000000"/>
        </w:rPr>
        <w:t xml:space="preserve"> (Kent, </w:t>
      </w:r>
      <w:r w:rsidR="00D44EA3">
        <w:rPr>
          <w:color w:val="000000"/>
        </w:rPr>
        <w:t>OH</w:t>
      </w:r>
      <w:r w:rsidR="00D44EA3" w:rsidRPr="00D44EA3">
        <w:rPr>
          <w:color w:val="000000"/>
        </w:rPr>
        <w:t xml:space="preserve">: </w:t>
      </w:r>
      <w:r w:rsidR="00E01F26" w:rsidRPr="00E01F26">
        <w:rPr>
          <w:shd w:val="clear" w:color="auto" w:fill="FFFFFF"/>
        </w:rPr>
        <w:t>Kent State University Press</w:t>
      </w:r>
      <w:r w:rsidR="00D44EA3" w:rsidRPr="00D44EA3">
        <w:rPr>
          <w:color w:val="000000"/>
        </w:rPr>
        <w:t xml:space="preserve">, 2018). </w:t>
      </w:r>
      <w:bookmarkEnd w:id="5"/>
      <w:r w:rsidR="00D44EA3" w:rsidRPr="00D44EA3">
        <w:rPr>
          <w:color w:val="000000"/>
        </w:rPr>
        <w:t>xiv + 290 pages. $45.00. ISBN 9781606353387.</w:t>
      </w:r>
    </w:p>
    <w:p w14:paraId="0CC96A2A" w14:textId="77366CB1" w:rsidR="00D44EA3" w:rsidRDefault="00266106" w:rsidP="00D44EA3">
      <w:pPr>
        <w:tabs>
          <w:tab w:val="left" w:pos="720"/>
        </w:tabs>
        <w:ind w:left="720" w:hanging="360"/>
      </w:pPr>
      <w:r>
        <w:rPr>
          <w:bCs/>
          <w:iCs/>
          <w:szCs w:val="20"/>
        </w:rPr>
        <w:t xml:space="preserve">ii. </w:t>
      </w:r>
      <w:r>
        <w:rPr>
          <w:bCs/>
          <w:iCs/>
          <w:szCs w:val="20"/>
        </w:rPr>
        <w:tab/>
      </w:r>
      <w:r>
        <w:rPr>
          <w:b/>
          <w:bCs/>
          <w:szCs w:val="20"/>
        </w:rPr>
        <w:t>DVD/Video</w:t>
      </w:r>
      <w:r w:rsidR="00D44EA3">
        <w:rPr>
          <w:b/>
          <w:bCs/>
          <w:szCs w:val="20"/>
        </w:rPr>
        <w:t>/CD Review</w:t>
      </w:r>
      <w:r>
        <w:rPr>
          <w:szCs w:val="20"/>
        </w:rPr>
        <w:t xml:space="preserve">: </w:t>
      </w:r>
      <w:r w:rsidR="00D44EA3">
        <w:t xml:space="preserve">Paul McCusker, C. S. Lewis at War: The Dramatic Story Behind Mere Christianity (Carol Stream, IL: Tyndale </w:t>
      </w:r>
      <w:r w:rsidR="00F91E5C">
        <w:rPr>
          <w:szCs w:val="20"/>
        </w:rPr>
        <w:t>House,</w:t>
      </w:r>
      <w:r w:rsidR="00F91E5C">
        <w:t xml:space="preserve"> </w:t>
      </w:r>
      <w:r w:rsidR="00D44EA3">
        <w:t>2014). 8 audio CDs. $39.99. ISBN 9781624052187</w:t>
      </w:r>
      <w:r w:rsidR="00F91E5C">
        <w:t>.</w:t>
      </w:r>
    </w:p>
    <w:p w14:paraId="438C6822" w14:textId="26D710FD" w:rsidR="00F91E5C" w:rsidRDefault="00D44EA3" w:rsidP="00F91E5C">
      <w:pPr>
        <w:tabs>
          <w:tab w:val="left" w:pos="720"/>
        </w:tabs>
        <w:ind w:left="720" w:hanging="360"/>
        <w:rPr>
          <w:bCs/>
        </w:rPr>
      </w:pPr>
      <w:r>
        <w:rPr>
          <w:szCs w:val="20"/>
        </w:rPr>
        <w:t xml:space="preserve">iii.  </w:t>
      </w:r>
      <w:r w:rsidR="00F91E5C">
        <w:rPr>
          <w:b/>
        </w:rPr>
        <w:t>Theater Review</w:t>
      </w:r>
      <w:r w:rsidR="00F91E5C">
        <w:rPr>
          <w:bCs/>
        </w:rPr>
        <w:t xml:space="preserve">: </w:t>
      </w:r>
      <w:r w:rsidR="00F91E5C">
        <w:rPr>
          <w:i/>
          <w:color w:val="000000"/>
        </w:rPr>
        <w:t>The Horse and His Boy</w:t>
      </w:r>
      <w:r w:rsidR="00F91E5C">
        <w:rPr>
          <w:color w:val="000000"/>
        </w:rPr>
        <w:t>, based on the book by C. S. Lewis, adapted by</w:t>
      </w:r>
      <w:r w:rsidR="00F91E5C">
        <w:t xml:space="preserve"> Nicole Stratton</w:t>
      </w:r>
      <w:r w:rsidR="00F91E5C">
        <w:rPr>
          <w:color w:val="000000"/>
        </w:rPr>
        <w:t xml:space="preserve">, starring </w:t>
      </w:r>
      <w:r w:rsidR="00F91E5C">
        <w:t>Isaiah Johnson, Hope Barr, Micah Hamilton, and Sheri Chavers</w:t>
      </w:r>
      <w:r w:rsidR="00F91E5C">
        <w:rPr>
          <w:color w:val="000000"/>
        </w:rPr>
        <w:t>. Taylors, SC: The Logos Theatre, 1 March 2019.</w:t>
      </w:r>
    </w:p>
    <w:p w14:paraId="2D68E985" w14:textId="46AB1B95" w:rsidR="00F91E5C" w:rsidRPr="00F91E5C" w:rsidRDefault="00F91E5C" w:rsidP="00D44EA3">
      <w:pPr>
        <w:tabs>
          <w:tab w:val="left" w:pos="720"/>
        </w:tabs>
        <w:ind w:left="720" w:hanging="360"/>
        <w:rPr>
          <w:bCs/>
          <w:szCs w:val="20"/>
        </w:rPr>
      </w:pPr>
      <w:r>
        <w:rPr>
          <w:bCs/>
          <w:szCs w:val="20"/>
        </w:rPr>
        <w:t xml:space="preserve">iv.  </w:t>
      </w:r>
      <w:r w:rsidR="00793910">
        <w:rPr>
          <w:b/>
        </w:rPr>
        <w:t>Film</w:t>
      </w:r>
      <w:r>
        <w:rPr>
          <w:b/>
        </w:rPr>
        <w:t xml:space="preserve"> Review</w:t>
      </w:r>
      <w:r>
        <w:rPr>
          <w:bCs/>
        </w:rPr>
        <w:t xml:space="preserve">: </w:t>
      </w:r>
      <w:r>
        <w:rPr>
          <w:i/>
          <w:color w:val="000000"/>
        </w:rPr>
        <w:t>Tolkien</w:t>
      </w:r>
      <w:r>
        <w:rPr>
          <w:color w:val="000000"/>
        </w:rPr>
        <w:t xml:space="preserve">, by David Gleeson and Stephen Beresford, directed by Dome </w:t>
      </w:r>
      <w:proofErr w:type="spellStart"/>
      <w:r>
        <w:rPr>
          <w:color w:val="000000"/>
        </w:rPr>
        <w:t>Karukoski</w:t>
      </w:r>
      <w:proofErr w:type="spellEnd"/>
      <w:r>
        <w:rPr>
          <w:color w:val="000000"/>
        </w:rPr>
        <w:t>, starring Nicholas Hoult and Lily Collins. Century City, CA: Fox Searchlight, 2019.</w:t>
      </w:r>
    </w:p>
    <w:p w14:paraId="06CC6655" w14:textId="3091EC32" w:rsidR="00266106" w:rsidRDefault="00266106" w:rsidP="00F91E5C">
      <w:pPr>
        <w:tabs>
          <w:tab w:val="left" w:pos="720"/>
        </w:tabs>
        <w:rPr>
          <w:szCs w:val="20"/>
        </w:rPr>
      </w:pPr>
    </w:p>
    <w:p w14:paraId="691F120E" w14:textId="77777777" w:rsidR="00F91E5C" w:rsidRDefault="00F91E5C" w:rsidP="00F91E5C">
      <w:pPr>
        <w:tabs>
          <w:tab w:val="left" w:pos="720"/>
        </w:tabs>
        <w:rPr>
          <w:szCs w:val="20"/>
        </w:rPr>
      </w:pPr>
    </w:p>
    <w:p w14:paraId="1014A9ED" w14:textId="601D8CEB" w:rsidR="000E21FA" w:rsidRPr="00633B92" w:rsidRDefault="00D619D5">
      <w:pPr>
        <w:ind w:left="720"/>
        <w:jc w:val="right"/>
        <w:rPr>
          <w:szCs w:val="22"/>
        </w:rPr>
      </w:pPr>
      <w:r>
        <w:rPr>
          <w:szCs w:val="18"/>
        </w:rPr>
        <w:t>30</w:t>
      </w:r>
      <w:r w:rsidR="00F91E5C" w:rsidRPr="00633B92">
        <w:rPr>
          <w:szCs w:val="18"/>
        </w:rPr>
        <w:t xml:space="preserve"> </w:t>
      </w:r>
      <w:r>
        <w:rPr>
          <w:szCs w:val="18"/>
        </w:rPr>
        <w:t>November</w:t>
      </w:r>
      <w:r w:rsidR="00F91E5C" w:rsidRPr="00633B92">
        <w:rPr>
          <w:szCs w:val="18"/>
        </w:rPr>
        <w:t xml:space="preserve"> 2020</w:t>
      </w:r>
    </w:p>
    <w:sectPr w:rsidR="000E21FA" w:rsidRPr="00633B92" w:rsidSect="00FE387E">
      <w:headerReference w:type="even" r:id="rId7"/>
      <w:headerReference w:type="default" r:id="rId8"/>
      <w:pgSz w:w="12240" w:h="15840" w:code="1"/>
      <w:pgMar w:top="576" w:right="1008" w:bottom="576" w:left="1152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D8FD" w14:textId="77777777" w:rsidR="003D6A60" w:rsidRDefault="003D6A60">
      <w:r>
        <w:separator/>
      </w:r>
    </w:p>
  </w:endnote>
  <w:endnote w:type="continuationSeparator" w:id="0">
    <w:p w14:paraId="7F58978C" w14:textId="77777777" w:rsidR="003D6A60" w:rsidRDefault="003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D3BD" w14:textId="77777777" w:rsidR="003D6A60" w:rsidRDefault="003D6A60">
      <w:r>
        <w:separator/>
      </w:r>
    </w:p>
  </w:footnote>
  <w:footnote w:type="continuationSeparator" w:id="0">
    <w:p w14:paraId="666BE868" w14:textId="77777777" w:rsidR="003D6A60" w:rsidRDefault="003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60F0" w14:textId="77777777" w:rsidR="00D017F9" w:rsidRDefault="002C4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1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6DA16" w14:textId="77777777" w:rsidR="00D017F9" w:rsidRDefault="00D01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265" w14:textId="77777777" w:rsidR="00D017F9" w:rsidRDefault="002C459E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0E21FA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61548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2176219E" w14:textId="77777777" w:rsidR="00D017F9" w:rsidRDefault="00D0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213"/>
    <w:multiLevelType w:val="hybridMultilevel"/>
    <w:tmpl w:val="72989A3C"/>
    <w:lvl w:ilvl="0" w:tplc="5464EAE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FD601546">
      <w:start w:val="1"/>
      <w:numFmt w:val="lowerRoman"/>
      <w:lvlText w:val="(%2)"/>
      <w:lvlJc w:val="left"/>
      <w:pPr>
        <w:tabs>
          <w:tab w:val="num" w:pos="2040"/>
        </w:tabs>
        <w:ind w:left="20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E5AA4"/>
    <w:multiLevelType w:val="hybridMultilevel"/>
    <w:tmpl w:val="F684DDC6"/>
    <w:lvl w:ilvl="0" w:tplc="B51A1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CCCB9E">
      <w:start w:val="4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F376CC3"/>
    <w:multiLevelType w:val="hybridMultilevel"/>
    <w:tmpl w:val="72D4A89C"/>
    <w:lvl w:ilvl="0" w:tplc="B51A1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AEE"/>
    <w:multiLevelType w:val="hybridMultilevel"/>
    <w:tmpl w:val="8C7E4BBA"/>
    <w:lvl w:ilvl="0" w:tplc="FB8AA416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</w:rPr>
    </w:lvl>
    <w:lvl w:ilvl="1" w:tplc="AF0033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009BE"/>
    <w:multiLevelType w:val="multilevel"/>
    <w:tmpl w:val="8FDA2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AD5322"/>
    <w:multiLevelType w:val="hybridMultilevel"/>
    <w:tmpl w:val="05FE1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DAA"/>
    <w:multiLevelType w:val="hybridMultilevel"/>
    <w:tmpl w:val="54ACDE1A"/>
    <w:lvl w:ilvl="0" w:tplc="0C7E9E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9097E"/>
    <w:multiLevelType w:val="hybridMultilevel"/>
    <w:tmpl w:val="2CF2A0D4"/>
    <w:lvl w:ilvl="0" w:tplc="84A8B79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6A08F3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7CEE198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31EFAD0">
      <w:start w:val="1"/>
      <w:numFmt w:val="lowerRoman"/>
      <w:lvlText w:val="%4."/>
      <w:lvlJc w:val="left"/>
      <w:pPr>
        <w:ind w:left="3240" w:hanging="720"/>
      </w:pPr>
      <w:rPr>
        <w:rFonts w:hint="default"/>
        <w:b w:val="0"/>
      </w:rPr>
    </w:lvl>
    <w:lvl w:ilvl="4" w:tplc="5532E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A9E5CA2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0363C"/>
    <w:multiLevelType w:val="hybridMultilevel"/>
    <w:tmpl w:val="CE46D08E"/>
    <w:lvl w:ilvl="0" w:tplc="CB10BB7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66A08F3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C3EF7"/>
    <w:multiLevelType w:val="hybridMultilevel"/>
    <w:tmpl w:val="9D60D410"/>
    <w:lvl w:ilvl="0" w:tplc="E9A04648">
      <w:start w:val="1"/>
      <w:numFmt w:val="decimal"/>
      <w:lvlText w:val="%1."/>
      <w:lvlJc w:val="left"/>
      <w:pPr>
        <w:tabs>
          <w:tab w:val="num" w:pos="1130"/>
        </w:tabs>
        <w:ind w:left="149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0" w15:restartNumberingAfterBreak="0">
    <w:nsid w:val="570D64F9"/>
    <w:multiLevelType w:val="hybridMultilevel"/>
    <w:tmpl w:val="FDE6E302"/>
    <w:lvl w:ilvl="0" w:tplc="9D8A366E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B602F0B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06D14"/>
    <w:multiLevelType w:val="hybridMultilevel"/>
    <w:tmpl w:val="E0B05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35B26"/>
    <w:multiLevelType w:val="hybridMultilevel"/>
    <w:tmpl w:val="57DE41DA"/>
    <w:lvl w:ilvl="0" w:tplc="9940CCD2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3" w15:restartNumberingAfterBreak="0">
    <w:nsid w:val="7F041BEF"/>
    <w:multiLevelType w:val="hybridMultilevel"/>
    <w:tmpl w:val="BBA05F64"/>
    <w:lvl w:ilvl="0" w:tplc="DF242A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865013">
    <w:abstractNumId w:val="7"/>
  </w:num>
  <w:num w:numId="2" w16cid:durableId="647831905">
    <w:abstractNumId w:val="8"/>
  </w:num>
  <w:num w:numId="3" w16cid:durableId="1625310580">
    <w:abstractNumId w:val="1"/>
  </w:num>
  <w:num w:numId="4" w16cid:durableId="1404907064">
    <w:abstractNumId w:val="10"/>
  </w:num>
  <w:num w:numId="5" w16cid:durableId="251403633">
    <w:abstractNumId w:val="12"/>
  </w:num>
  <w:num w:numId="6" w16cid:durableId="724527990">
    <w:abstractNumId w:val="0"/>
  </w:num>
  <w:num w:numId="7" w16cid:durableId="531767215">
    <w:abstractNumId w:val="13"/>
  </w:num>
  <w:num w:numId="8" w16cid:durableId="133185168">
    <w:abstractNumId w:val="5"/>
  </w:num>
  <w:num w:numId="9" w16cid:durableId="1831555601">
    <w:abstractNumId w:val="9"/>
  </w:num>
  <w:num w:numId="10" w16cid:durableId="1810322957">
    <w:abstractNumId w:val="6"/>
  </w:num>
  <w:num w:numId="11" w16cid:durableId="389698626">
    <w:abstractNumId w:val="2"/>
  </w:num>
  <w:num w:numId="12" w16cid:durableId="1333991486">
    <w:abstractNumId w:val="3"/>
  </w:num>
  <w:num w:numId="13" w16cid:durableId="1530990903">
    <w:abstractNumId w:val="4"/>
  </w:num>
  <w:num w:numId="14" w16cid:durableId="161042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/>
  <w:defaultTabStop w:val="1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7E"/>
    <w:rsid w:val="00000A74"/>
    <w:rsid w:val="00040DDA"/>
    <w:rsid w:val="000577B0"/>
    <w:rsid w:val="00065A3E"/>
    <w:rsid w:val="000866D6"/>
    <w:rsid w:val="000B7865"/>
    <w:rsid w:val="000C48E1"/>
    <w:rsid w:val="000E21FA"/>
    <w:rsid w:val="00125533"/>
    <w:rsid w:val="00176CCB"/>
    <w:rsid w:val="00183B9B"/>
    <w:rsid w:val="00187589"/>
    <w:rsid w:val="001F1538"/>
    <w:rsid w:val="001F4C2F"/>
    <w:rsid w:val="00236968"/>
    <w:rsid w:val="00266106"/>
    <w:rsid w:val="00271FED"/>
    <w:rsid w:val="002B078E"/>
    <w:rsid w:val="002B5473"/>
    <w:rsid w:val="002C459E"/>
    <w:rsid w:val="002E1C8F"/>
    <w:rsid w:val="00323676"/>
    <w:rsid w:val="003245A2"/>
    <w:rsid w:val="00337E1D"/>
    <w:rsid w:val="0034128D"/>
    <w:rsid w:val="003749FD"/>
    <w:rsid w:val="00385632"/>
    <w:rsid w:val="003977D6"/>
    <w:rsid w:val="003B3444"/>
    <w:rsid w:val="003C0070"/>
    <w:rsid w:val="003D6A60"/>
    <w:rsid w:val="003E19F5"/>
    <w:rsid w:val="003E6A5B"/>
    <w:rsid w:val="003F13F0"/>
    <w:rsid w:val="00400BE3"/>
    <w:rsid w:val="00407CC5"/>
    <w:rsid w:val="004468D8"/>
    <w:rsid w:val="004A1686"/>
    <w:rsid w:val="004E4383"/>
    <w:rsid w:val="00503920"/>
    <w:rsid w:val="005174B4"/>
    <w:rsid w:val="005723D6"/>
    <w:rsid w:val="00573AFC"/>
    <w:rsid w:val="00581662"/>
    <w:rsid w:val="00590B7B"/>
    <w:rsid w:val="005C6367"/>
    <w:rsid w:val="005C6FA2"/>
    <w:rsid w:val="005D3FEC"/>
    <w:rsid w:val="005E1326"/>
    <w:rsid w:val="005E4509"/>
    <w:rsid w:val="005E6CF4"/>
    <w:rsid w:val="0061548F"/>
    <w:rsid w:val="00622AF5"/>
    <w:rsid w:val="00633B92"/>
    <w:rsid w:val="00653902"/>
    <w:rsid w:val="00662464"/>
    <w:rsid w:val="006642F1"/>
    <w:rsid w:val="00676150"/>
    <w:rsid w:val="006762B7"/>
    <w:rsid w:val="006E62F5"/>
    <w:rsid w:val="006F383B"/>
    <w:rsid w:val="007475BE"/>
    <w:rsid w:val="0077154D"/>
    <w:rsid w:val="00793595"/>
    <w:rsid w:val="00793910"/>
    <w:rsid w:val="007B510B"/>
    <w:rsid w:val="007B6E5D"/>
    <w:rsid w:val="007C0729"/>
    <w:rsid w:val="007C09C7"/>
    <w:rsid w:val="007F252C"/>
    <w:rsid w:val="00810032"/>
    <w:rsid w:val="00810D51"/>
    <w:rsid w:val="008161CF"/>
    <w:rsid w:val="0087631E"/>
    <w:rsid w:val="0089066C"/>
    <w:rsid w:val="008A4FC6"/>
    <w:rsid w:val="008B02BD"/>
    <w:rsid w:val="008C2156"/>
    <w:rsid w:val="009232EB"/>
    <w:rsid w:val="00930BAE"/>
    <w:rsid w:val="009431B3"/>
    <w:rsid w:val="009866DB"/>
    <w:rsid w:val="009B41E7"/>
    <w:rsid w:val="009B4E9E"/>
    <w:rsid w:val="009C2782"/>
    <w:rsid w:val="009C2F18"/>
    <w:rsid w:val="009C74F3"/>
    <w:rsid w:val="009F0600"/>
    <w:rsid w:val="009F7A1E"/>
    <w:rsid w:val="00A4072D"/>
    <w:rsid w:val="00A46416"/>
    <w:rsid w:val="00A97396"/>
    <w:rsid w:val="00AA115E"/>
    <w:rsid w:val="00AD48AE"/>
    <w:rsid w:val="00AE73BA"/>
    <w:rsid w:val="00B3306F"/>
    <w:rsid w:val="00B840E5"/>
    <w:rsid w:val="00BD25C7"/>
    <w:rsid w:val="00BD76D2"/>
    <w:rsid w:val="00C16726"/>
    <w:rsid w:val="00CA1AE6"/>
    <w:rsid w:val="00D017F9"/>
    <w:rsid w:val="00D146BF"/>
    <w:rsid w:val="00D16D5D"/>
    <w:rsid w:val="00D24ADC"/>
    <w:rsid w:val="00D44EA3"/>
    <w:rsid w:val="00D45A32"/>
    <w:rsid w:val="00D50795"/>
    <w:rsid w:val="00D5351D"/>
    <w:rsid w:val="00D53F67"/>
    <w:rsid w:val="00D619D5"/>
    <w:rsid w:val="00D71802"/>
    <w:rsid w:val="00D75D84"/>
    <w:rsid w:val="00D87700"/>
    <w:rsid w:val="00D94F15"/>
    <w:rsid w:val="00DB0ABD"/>
    <w:rsid w:val="00DD7A13"/>
    <w:rsid w:val="00DE2E65"/>
    <w:rsid w:val="00DE440A"/>
    <w:rsid w:val="00DE56E4"/>
    <w:rsid w:val="00E01F26"/>
    <w:rsid w:val="00E14171"/>
    <w:rsid w:val="00E445A0"/>
    <w:rsid w:val="00EF31D5"/>
    <w:rsid w:val="00F00D0C"/>
    <w:rsid w:val="00F03659"/>
    <w:rsid w:val="00F27245"/>
    <w:rsid w:val="00F523CD"/>
    <w:rsid w:val="00F7788E"/>
    <w:rsid w:val="00F91E5C"/>
    <w:rsid w:val="00FC3495"/>
    <w:rsid w:val="00FE387E"/>
    <w:rsid w:val="00FF261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FA962"/>
  <w15:docId w15:val="{2C32BCDE-6C70-4999-A2B9-CAA97AD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F9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7F9"/>
    <w:pPr>
      <w:keepNext/>
      <w:jc w:val="center"/>
      <w:outlineLvl w:val="0"/>
    </w:pPr>
    <w:rPr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D017F9"/>
    <w:pPr>
      <w:keepNext/>
      <w:numPr>
        <w:numId w:val="12"/>
      </w:numPr>
      <w:ind w:left="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17F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1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7F9"/>
  </w:style>
  <w:style w:type="character" w:styleId="Hyperlink">
    <w:name w:val="Hyperlink"/>
    <w:semiHidden/>
    <w:rsid w:val="00D017F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17F9"/>
    <w:rPr>
      <w:sz w:val="20"/>
      <w:szCs w:val="20"/>
      <w:lang w:val="en-CA" w:eastAsia="en-CA"/>
    </w:rPr>
  </w:style>
  <w:style w:type="character" w:styleId="FootnoteReference">
    <w:name w:val="footnote reference"/>
    <w:semiHidden/>
    <w:rsid w:val="00D017F9"/>
    <w:rPr>
      <w:vertAlign w:val="superscript"/>
    </w:rPr>
  </w:style>
  <w:style w:type="paragraph" w:styleId="Footer">
    <w:name w:val="footer"/>
    <w:basedOn w:val="Normal"/>
    <w:semiHidden/>
    <w:rsid w:val="00D017F9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017F9"/>
    <w:rPr>
      <w:sz w:val="24"/>
      <w:szCs w:val="24"/>
    </w:rPr>
  </w:style>
  <w:style w:type="paragraph" w:styleId="Title">
    <w:name w:val="Title"/>
    <w:basedOn w:val="Normal"/>
    <w:qFormat/>
    <w:rsid w:val="00D017F9"/>
    <w:pPr>
      <w:jc w:val="center"/>
    </w:pPr>
    <w:rPr>
      <w:bCs/>
      <w:i/>
      <w:iCs/>
      <w:sz w:val="40"/>
      <w:szCs w:val="40"/>
    </w:rPr>
  </w:style>
  <w:style w:type="paragraph" w:styleId="BodyTextIndent">
    <w:name w:val="Body Text Indent"/>
    <w:basedOn w:val="Normal"/>
    <w:semiHidden/>
    <w:rsid w:val="00D017F9"/>
    <w:pPr>
      <w:tabs>
        <w:tab w:val="left" w:pos="360"/>
      </w:tabs>
      <w:ind w:left="360" w:hanging="360"/>
    </w:pPr>
    <w:rPr>
      <w:szCs w:val="20"/>
    </w:rPr>
  </w:style>
  <w:style w:type="character" w:customStyle="1" w:styleId="go">
    <w:name w:val="go"/>
    <w:basedOn w:val="DefaultParagraphFont"/>
    <w:rsid w:val="00FE387E"/>
  </w:style>
  <w:style w:type="character" w:customStyle="1" w:styleId="FootnoteTextChar">
    <w:name w:val="Footnote Text Char"/>
    <w:link w:val="FootnoteText"/>
    <w:uiPriority w:val="99"/>
    <w:semiHidden/>
    <w:rsid w:val="00BD25C7"/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9C74F3"/>
  </w:style>
  <w:style w:type="paragraph" w:styleId="ListParagraph">
    <w:name w:val="List Paragraph"/>
    <w:basedOn w:val="Normal"/>
    <w:uiPriority w:val="34"/>
    <w:qFormat/>
    <w:rsid w:val="0034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Note for Style including the OUP Style Sheet</vt:lpstr>
      <vt:lpstr>Style Guide </vt:lpstr>
      <vt:lpstr>    General Instructions</vt:lpstr>
      <vt:lpstr>    Footnotes</vt:lpstr>
      <vt:lpstr>    Bibliography</vt:lpstr>
    </vt:vector>
  </TitlesOfParts>
  <Company>Fuller Seminary</Company>
  <LinksUpToDate>false</LinksUpToDate>
  <CharactersWithSpaces>13013</CharactersWithSpaces>
  <SharedDoc>false</SharedDoc>
  <HLinks>
    <vt:vector size="24" baseType="variant">
      <vt:variant>
        <vt:i4>4587573</vt:i4>
      </vt:variant>
      <vt:variant>
        <vt:i4>9</vt:i4>
      </vt:variant>
      <vt:variant>
        <vt:i4>0</vt:i4>
      </vt:variant>
      <vt:variant>
        <vt:i4>5</vt:i4>
      </vt:variant>
      <vt:variant>
        <vt:lpwstr>mailto:iambic.admonit@gmail.com</vt:lpwstr>
      </vt:variant>
      <vt:variant>
        <vt:lpwstr/>
      </vt:variant>
      <vt:variant>
        <vt:i4>3211388</vt:i4>
      </vt:variant>
      <vt:variant>
        <vt:i4>6</vt:i4>
      </vt:variant>
      <vt:variant>
        <vt:i4>0</vt:i4>
      </vt:variant>
      <vt:variant>
        <vt:i4>5</vt:i4>
      </vt:variant>
      <vt:variant>
        <vt:lpwstr>http://www.narniaworld.com/</vt:lpwstr>
      </vt:variant>
      <vt:variant>
        <vt:lpwstr/>
      </vt:variant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http://www.narniaworld.com/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mailto:gcarter@fuller.edu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Style including the OUP Style Sheet</dc:title>
  <dc:subject/>
  <dc:creator>Grayson Carter</dc:creator>
  <cp:keywords/>
  <dc:description/>
  <cp:lastModifiedBy>Bruce Johnson</cp:lastModifiedBy>
  <cp:revision>3</cp:revision>
  <cp:lastPrinted>2008-01-23T16:48:00Z</cp:lastPrinted>
  <dcterms:created xsi:type="dcterms:W3CDTF">2023-01-28T14:43:00Z</dcterms:created>
  <dcterms:modified xsi:type="dcterms:W3CDTF">2023-03-05T03:20:00Z</dcterms:modified>
</cp:coreProperties>
</file>